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CF89D8" w14:textId="789D2FFC" w:rsidR="00AD68EB" w:rsidRPr="00DA3017" w:rsidRDefault="00DA3017">
      <w:pPr>
        <w:rPr>
          <w:b/>
          <w:bCs/>
        </w:rPr>
      </w:pPr>
      <w:r>
        <w:rPr>
          <w:b/>
          <w:bCs/>
        </w:rPr>
        <w:t xml:space="preserve">Ambasador investorů: </w:t>
      </w:r>
      <w:r w:rsidR="004C4019" w:rsidRPr="00DA3017">
        <w:rPr>
          <w:b/>
          <w:bCs/>
        </w:rPr>
        <w:t xml:space="preserve">Regulace </w:t>
      </w:r>
      <w:proofErr w:type="spellStart"/>
      <w:r w:rsidR="004C4019" w:rsidRPr="00DA3017">
        <w:rPr>
          <w:b/>
          <w:bCs/>
        </w:rPr>
        <w:t>MiCA</w:t>
      </w:r>
      <w:proofErr w:type="spellEnd"/>
      <w:r w:rsidR="004C4019" w:rsidRPr="00DA3017">
        <w:rPr>
          <w:b/>
          <w:bCs/>
        </w:rPr>
        <w:t xml:space="preserve"> přináší investorům do krypta větší ochranu před podvodníky. Finančních rizik je ale nezbaví</w:t>
      </w:r>
    </w:p>
    <w:p w14:paraId="6F46A564" w14:textId="6ABA8956" w:rsidR="00DA3017" w:rsidRPr="002177B3" w:rsidRDefault="00DA3017">
      <w:pPr>
        <w:rPr>
          <w:b/>
          <w:bCs/>
          <w:u w:val="single"/>
        </w:rPr>
      </w:pPr>
      <w:r w:rsidRPr="0053449A">
        <w:t xml:space="preserve">V Praze, </w:t>
      </w:r>
      <w:r>
        <w:t>leden</w:t>
      </w:r>
      <w:r w:rsidRPr="0053449A">
        <w:t xml:space="preserve"> 202</w:t>
      </w:r>
      <w:r>
        <w:t>6</w:t>
      </w:r>
    </w:p>
    <w:p w14:paraId="6326D8EB" w14:textId="2F171534" w:rsidR="004C4019" w:rsidRPr="002177B3" w:rsidRDefault="004C4019">
      <w:pPr>
        <w:rPr>
          <w:i/>
          <w:iCs/>
        </w:rPr>
      </w:pPr>
      <w:r w:rsidRPr="002177B3">
        <w:rPr>
          <w:i/>
          <w:iCs/>
        </w:rPr>
        <w:t xml:space="preserve">Na přelomu let 2024 a 2025 nabylo účinnosti nařízení Evropské unie, které se do širšího povědomí přinejmenším poučené veřejnosti vrylo pod označením </w:t>
      </w:r>
      <w:proofErr w:type="spellStart"/>
      <w:r w:rsidRPr="002177B3">
        <w:rPr>
          <w:i/>
          <w:iCs/>
        </w:rPr>
        <w:t>MiCA</w:t>
      </w:r>
      <w:proofErr w:type="spellEnd"/>
      <w:r w:rsidRPr="002177B3">
        <w:rPr>
          <w:i/>
          <w:iCs/>
        </w:rPr>
        <w:t>. Jde o soubor pravidel, jejichž cílem je zvýšit transparentnost té části finančních trhů, kde se obchoduje s krypto aktivy, a posílit ochranu běžných uživatelů krypto aktiv. Jejich obchodování například nebude moci nabízet subjekt bez licence centrální banky.</w:t>
      </w:r>
    </w:p>
    <w:p w14:paraId="2E900067" w14:textId="1A151B9E" w:rsidR="004C4019" w:rsidRDefault="00B50D2D">
      <w:r>
        <w:t xml:space="preserve">Evropské nařízení </w:t>
      </w:r>
      <w:proofErr w:type="spellStart"/>
      <w:r>
        <w:t>MiCA</w:t>
      </w:r>
      <w:proofErr w:type="spellEnd"/>
      <w:r>
        <w:t xml:space="preserve"> (</w:t>
      </w:r>
      <w:proofErr w:type="spellStart"/>
      <w:r>
        <w:t>Markets</w:t>
      </w:r>
      <w:proofErr w:type="spellEnd"/>
      <w:r>
        <w:t xml:space="preserve"> in </w:t>
      </w:r>
      <w:proofErr w:type="spellStart"/>
      <w:r>
        <w:t>Crypto</w:t>
      </w:r>
      <w:proofErr w:type="spellEnd"/>
      <w:r>
        <w:t xml:space="preserve"> </w:t>
      </w:r>
      <w:proofErr w:type="spellStart"/>
      <w:r>
        <w:t>Assets</w:t>
      </w:r>
      <w:proofErr w:type="spellEnd"/>
      <w:r>
        <w:t>)</w:t>
      </w:r>
      <w:r w:rsidR="00B44D98">
        <w:t xml:space="preserve"> přineslo rokem 2025 počínaje zcela zásadní změny pro všechny podnikatelské subjekty, které</w:t>
      </w:r>
      <w:r w:rsidR="00067E1A">
        <w:t xml:space="preserve"> působí na trhu s kryptoměnami, respektive krypto aktivy.</w:t>
      </w:r>
    </w:p>
    <w:p w14:paraId="11D5F9AC" w14:textId="517053A5" w:rsidR="00067E1A" w:rsidRDefault="00067E1A">
      <w:r>
        <w:t xml:space="preserve">Cílem </w:t>
      </w:r>
      <w:r w:rsidR="006458B9">
        <w:t>tohoto souboru pravidel je zejména zvýšit důvěryhodnost trhu, ochránit investory (především ty drobné, kteří</w:t>
      </w:r>
      <w:r w:rsidR="00FE1FA1">
        <w:t xml:space="preserve"> trpí informační asymetrií) a </w:t>
      </w:r>
      <w:r w:rsidR="000B2F2D">
        <w:t xml:space="preserve">v neposlední řadě posílit finanční stabilitu. Vedle toho </w:t>
      </w:r>
      <w:proofErr w:type="spellStart"/>
      <w:r w:rsidR="000B2F2D">
        <w:t>MiCA</w:t>
      </w:r>
      <w:proofErr w:type="spellEnd"/>
      <w:r w:rsidR="000B2F2D">
        <w:t xml:space="preserve"> také slaďuje pravidla v rámci celé Evropské unie</w:t>
      </w:r>
      <w:r w:rsidR="0016101A">
        <w:t>. Do budoucna by tedy mělo být jedno, ve které členské zemi sedmadvacítky má daný subjekt nabízející služby v oblasti krypto aktiv domicil, měl by podléhat stejným pravidlům.</w:t>
      </w:r>
    </w:p>
    <w:p w14:paraId="27098E05" w14:textId="77777777" w:rsidR="00F56A64" w:rsidRDefault="007875B1" w:rsidP="00A55AEE">
      <w:r>
        <w:t xml:space="preserve">Co to konkrétně znamená pro trh s krypto aktivy v České republice? </w:t>
      </w:r>
      <w:r w:rsidR="00A55AEE">
        <w:t>V první řadě to, že o</w:t>
      </w:r>
      <w:r w:rsidR="00A55AEE" w:rsidRPr="00A55AEE">
        <w:t xml:space="preserve">d </w:t>
      </w:r>
      <w:r w:rsidR="00A55AEE">
        <w:t xml:space="preserve">loňského </w:t>
      </w:r>
      <w:r w:rsidR="00A55AEE" w:rsidRPr="00A55AEE">
        <w:t xml:space="preserve">února už v Česku neexistuje volná živnost </w:t>
      </w:r>
      <w:r w:rsidR="00A55AEE">
        <w:t>pro</w:t>
      </w:r>
      <w:r w:rsidR="00F56A64">
        <w:t xml:space="preserve"> poskytování služeb v oblasti krypto aktiv, tedy ani pro nabízení zajištění obchodů s krypto aktivy.</w:t>
      </w:r>
    </w:p>
    <w:p w14:paraId="6F1D3913" w14:textId="3CC69ED4" w:rsidR="00AF38F9" w:rsidRDefault="00A55AEE" w:rsidP="00A55AEE">
      <w:r w:rsidRPr="00A55AEE">
        <w:t>Každý, kdo chce provozovat směnárnu, burzu nebo třeba i jen poskytovat úschovu krypto</w:t>
      </w:r>
      <w:r w:rsidR="00476D62">
        <w:t xml:space="preserve"> </w:t>
      </w:r>
      <w:r w:rsidRPr="00A55AEE">
        <w:t xml:space="preserve">aktiv pro klienty v </w:t>
      </w:r>
      <w:proofErr w:type="spellStart"/>
      <w:r w:rsidRPr="00A55AEE">
        <w:t>kryptopeněžence</w:t>
      </w:r>
      <w:proofErr w:type="spellEnd"/>
      <w:r w:rsidRPr="00A55AEE">
        <w:t xml:space="preserve">, </w:t>
      </w:r>
      <w:r w:rsidR="00476D62">
        <w:t>musí disponovat licencí o</w:t>
      </w:r>
      <w:r w:rsidRPr="00A55AEE">
        <w:t xml:space="preserve">d České národní banky. </w:t>
      </w:r>
      <w:r w:rsidR="00AF38F9">
        <w:t xml:space="preserve">Ke konci </w:t>
      </w:r>
      <w:r w:rsidR="005D0D02">
        <w:t>října</w:t>
      </w:r>
      <w:r w:rsidR="00AF38F9">
        <w:t xml:space="preserve"> loňského roku podle ČNB o licenci požádalo více než 200 firem.</w:t>
      </w:r>
      <w:r w:rsidR="00704606">
        <w:t xml:space="preserve"> Licence</w:t>
      </w:r>
      <w:r w:rsidR="000A18FA">
        <w:t xml:space="preserve"> musí splňovat</w:t>
      </w:r>
      <w:r w:rsidR="00B05571">
        <w:t xml:space="preserve"> požadavky licence CASP (</w:t>
      </w:r>
      <w:proofErr w:type="spellStart"/>
      <w:r w:rsidR="00B05571">
        <w:t>Crypto-Asset</w:t>
      </w:r>
      <w:proofErr w:type="spellEnd"/>
      <w:r w:rsidR="00B05571">
        <w:t xml:space="preserve"> </w:t>
      </w:r>
      <w:proofErr w:type="spellStart"/>
      <w:r w:rsidR="00B05571">
        <w:t>Service</w:t>
      </w:r>
      <w:proofErr w:type="spellEnd"/>
      <w:r w:rsidR="00B05571">
        <w:t xml:space="preserve"> Provider). </w:t>
      </w:r>
      <w:r w:rsidR="00241B1C">
        <w:t>Tím je mimo jiné zaručeno, že jde o licenci, která je jednotná pro celou Evropskou unii</w:t>
      </w:r>
      <w:r w:rsidR="0038159B">
        <w:t xml:space="preserve"> – naplňuje princip takzvaného evropského pasu.</w:t>
      </w:r>
    </w:p>
    <w:p w14:paraId="1301B8CE" w14:textId="773E6A1F" w:rsidR="007875B1" w:rsidRDefault="00CD4574">
      <w:r>
        <w:t>Už jen tato povinnost působí jako určité síto pro vstup</w:t>
      </w:r>
      <w:r w:rsidR="000B28E0">
        <w:t xml:space="preserve"> krypto firem na trh. Před zavedením souboru pravidel v rámci </w:t>
      </w:r>
      <w:proofErr w:type="spellStart"/>
      <w:r w:rsidR="000B28E0">
        <w:t>MiCA</w:t>
      </w:r>
      <w:proofErr w:type="spellEnd"/>
      <w:r w:rsidR="000B28E0">
        <w:t xml:space="preserve"> si totiž v Česku mohl</w:t>
      </w:r>
      <w:r w:rsidR="009D6206">
        <w:t xml:space="preserve"> </w:t>
      </w:r>
      <w:r w:rsidR="009D6206" w:rsidRPr="009D6206">
        <w:t xml:space="preserve">kdokoli zapsat volnou živnost </w:t>
      </w:r>
      <w:r w:rsidR="009D6206" w:rsidRPr="009D6206">
        <w:rPr>
          <w:i/>
          <w:iCs/>
        </w:rPr>
        <w:t>„poskytování služeb spojených s virtuálním aktivem“</w:t>
      </w:r>
      <w:r w:rsidR="009D6206" w:rsidRPr="009D6206">
        <w:t xml:space="preserve"> a pustit se do podnikání v kryptu. Nepotřeboval k tomu žádné zvláštní znalosti, kapitál ani povolení státu. </w:t>
      </w:r>
      <w:proofErr w:type="spellStart"/>
      <w:r w:rsidR="009D6206" w:rsidRPr="009D6206">
        <w:t>Kryptoscéna</w:t>
      </w:r>
      <w:proofErr w:type="spellEnd"/>
      <w:r w:rsidR="009D6206" w:rsidRPr="009D6206">
        <w:t xml:space="preserve"> tak byla dostupná i jednotlivcům s minimem zkušeností.</w:t>
      </w:r>
    </w:p>
    <w:p w14:paraId="3F53929D" w14:textId="7C69A144" w:rsidR="004C4019" w:rsidRDefault="00C83365">
      <w:r w:rsidRPr="00C83365">
        <w:t xml:space="preserve">„Do budoucna už musí mít každý nový poskytovatel služeb v oblasti krypt aktiv licenci od ČNB a být právnickou osobou,“ </w:t>
      </w:r>
      <w:r>
        <w:t>vysvětlil v</w:t>
      </w:r>
      <w:r w:rsidR="005E3912">
        <w:t> zářijovém rozhovoru člen bankovní rady ČNB Jan</w:t>
      </w:r>
      <w:r w:rsidRPr="00C83365">
        <w:t xml:space="preserve"> Procházka. </w:t>
      </w:r>
      <w:r w:rsidR="005E3912">
        <w:t>Podle něho</w:t>
      </w:r>
      <w:r w:rsidR="00E172A3">
        <w:t xml:space="preserve"> se tak podnikání, které šlo ještě před rokem</w:t>
      </w:r>
      <w:r w:rsidRPr="00C83365">
        <w:t xml:space="preserve"> spustit doslova na koleně, </w:t>
      </w:r>
      <w:r w:rsidR="00C230EB">
        <w:t>změnilo v odvětví</w:t>
      </w:r>
      <w:r w:rsidRPr="00C83365">
        <w:t xml:space="preserve"> pod dohledem centrální banky.</w:t>
      </w:r>
    </w:p>
    <w:p w14:paraId="5F8B1BB8" w14:textId="1623BDFB" w:rsidR="006408CB" w:rsidRPr="006408CB" w:rsidRDefault="006408CB" w:rsidP="006408CB">
      <w:r w:rsidRPr="006408CB">
        <w:t xml:space="preserve">„Ještě loni u nás působilo téměř 30 tisíc subjektů na základě volné živnosti. To je pryč. Naprostá většina těchto živnostníků byla vymazána z rejstříku. Ti, kteří podali včas žádost o licenci, mají možnost fungovat přechodně ještě rok. Kdo to neudělal, už podnikat nesmí,“ </w:t>
      </w:r>
      <w:r>
        <w:t>doplnil Procházka obrázek o tom, jak razantně</w:t>
      </w:r>
      <w:r w:rsidR="00C671F2">
        <w:t xml:space="preserve"> pouhá transpozice nařízení </w:t>
      </w:r>
      <w:proofErr w:type="spellStart"/>
      <w:r w:rsidR="00C671F2">
        <w:t>MiCA</w:t>
      </w:r>
      <w:proofErr w:type="spellEnd"/>
      <w:r w:rsidR="00C671F2">
        <w:t xml:space="preserve"> do národní legislativy zapůsobilo</w:t>
      </w:r>
      <w:r w:rsidRPr="006408CB">
        <w:t>.</w:t>
      </w:r>
    </w:p>
    <w:p w14:paraId="07222AB9" w14:textId="457387D3" w:rsidR="0064004E" w:rsidRDefault="00F50F1E">
      <w:r>
        <w:t>Podmínky pro získání licence CASP</w:t>
      </w:r>
      <w:r w:rsidR="00BC506A">
        <w:t xml:space="preserve"> jsou poměrně přísné. Žadatel</w:t>
      </w:r>
      <w:r w:rsidR="00E83854">
        <w:t xml:space="preserve"> musí mít dostatečný kapitál, jehož objem musí odpovídat rozsahu služeb, jež bude chtít nabízet</w:t>
      </w:r>
      <w:r w:rsidR="006635CD">
        <w:t>. Zároveň musí mít důvěryhodné a kvalifikované vedení, nastavené procesy pro ochranu klientských aktiv</w:t>
      </w:r>
      <w:r w:rsidR="00AB25BD">
        <w:t>, opatření proti kybernetickým útokům a podobně.</w:t>
      </w:r>
    </w:p>
    <w:p w14:paraId="1384C28A" w14:textId="64DD05A6" w:rsidR="00CC7EFA" w:rsidRPr="00CC7EFA" w:rsidRDefault="00CC7EFA" w:rsidP="00CC7EFA">
      <w:r w:rsidRPr="00CC7EFA">
        <w:lastRenderedPageBreak/>
        <w:t xml:space="preserve">Poskytovatelé krypto služeb musí </w:t>
      </w:r>
      <w:r>
        <w:t xml:space="preserve">mimo jiné </w:t>
      </w:r>
      <w:r w:rsidRPr="00CC7EFA">
        <w:t xml:space="preserve">jednat čestně, spravedlivě a v nejlepším zájmu klientů. </w:t>
      </w:r>
      <w:proofErr w:type="spellStart"/>
      <w:r w:rsidRPr="00CC7EFA">
        <w:t>MiCA</w:t>
      </w:r>
      <w:proofErr w:type="spellEnd"/>
      <w:r w:rsidRPr="00CC7EFA">
        <w:t xml:space="preserve"> například ukládá povinnost oddělit klientská krypto</w:t>
      </w:r>
      <w:r w:rsidR="00DC2D9C">
        <w:t xml:space="preserve"> </w:t>
      </w:r>
      <w:r w:rsidRPr="00CC7EFA">
        <w:t>aktiva od vlastních (</w:t>
      </w:r>
      <w:proofErr w:type="spellStart"/>
      <w:r w:rsidRPr="00CC7EFA">
        <w:t>custody</w:t>
      </w:r>
      <w:proofErr w:type="spellEnd"/>
      <w:r w:rsidRPr="00CC7EFA">
        <w:t xml:space="preserve"> služby tedy nesmí míchat prostředky klientů se svými) a zavést pravidla pro řešení stížností zákazníků.</w:t>
      </w:r>
    </w:p>
    <w:p w14:paraId="02DB1669" w14:textId="74C8B364" w:rsidR="00CC7EFA" w:rsidRPr="00CC7EFA" w:rsidRDefault="00CC7EFA" w:rsidP="00CC7EFA">
      <w:r w:rsidRPr="00CC7EFA">
        <w:t>Firmy budou muset transparentně zveřejňovat poplatky a upozorňovat na rizika spojená s jejich produkty, aby zákazníci měli jasnou představu, do čeho jdou.</w:t>
      </w:r>
      <w:r w:rsidR="00DC2D9C" w:rsidRPr="00DC2D9C">
        <w:t xml:space="preserve"> </w:t>
      </w:r>
      <w:r w:rsidRPr="00CC7EFA">
        <w:t xml:space="preserve">Z hlediska integrity trhu </w:t>
      </w:r>
      <w:proofErr w:type="spellStart"/>
      <w:r w:rsidR="00DC2D9C">
        <w:t>MiCA</w:t>
      </w:r>
      <w:proofErr w:type="spellEnd"/>
      <w:r w:rsidR="00DC2D9C">
        <w:t xml:space="preserve"> </w:t>
      </w:r>
      <w:r w:rsidRPr="00CC7EFA">
        <w:t>zavádí obdobu režimu známého z tradičního kapitálového trhu: zákaz manipulace trhem a zneužití vnitřních informací s kryptoměnami.</w:t>
      </w:r>
    </w:p>
    <w:p w14:paraId="29F77A0F" w14:textId="03FBFE67" w:rsidR="00CC7EFA" w:rsidRPr="00CC7EFA" w:rsidRDefault="00CC7EFA" w:rsidP="00CC7EFA">
      <w:r w:rsidRPr="00CC7EFA">
        <w:t xml:space="preserve">Zakázány tedy </w:t>
      </w:r>
      <w:r w:rsidR="00351DAF">
        <w:t>jsou</w:t>
      </w:r>
      <w:r w:rsidRPr="00CC7EFA">
        <w:t xml:space="preserve"> praktiky jako umělé ovlivňování ceny tokenů, šíření falešných zpráv za účelem pohybu kurzu, </w:t>
      </w:r>
      <w:proofErr w:type="spellStart"/>
      <w:r w:rsidRPr="00CC7EFA">
        <w:t>insider</w:t>
      </w:r>
      <w:proofErr w:type="spellEnd"/>
      <w:r w:rsidRPr="00CC7EFA">
        <w:t xml:space="preserve"> </w:t>
      </w:r>
      <w:proofErr w:type="spellStart"/>
      <w:r w:rsidRPr="00CC7EFA">
        <w:t>trading</w:t>
      </w:r>
      <w:proofErr w:type="spellEnd"/>
      <w:r w:rsidRPr="00CC7EFA">
        <w:t xml:space="preserve"> apod. – porušení se bude posuzovat podobně přísně jako u obchodování s akciemi.</w:t>
      </w:r>
    </w:p>
    <w:p w14:paraId="4567F50F" w14:textId="7B40460F" w:rsidR="004F3815" w:rsidRPr="004F3815" w:rsidRDefault="00CE3939" w:rsidP="004F3815">
      <w:proofErr w:type="spellStart"/>
      <w:r>
        <w:t>MiCA</w:t>
      </w:r>
      <w:proofErr w:type="spellEnd"/>
      <w:r>
        <w:t xml:space="preserve"> také upravuje postup při vydávání nových </w:t>
      </w:r>
      <w:r w:rsidR="0031676E">
        <w:t xml:space="preserve">krypto aktiv (tokenů). </w:t>
      </w:r>
      <w:r w:rsidR="00DE6B3A" w:rsidRPr="00862E6F">
        <w:t xml:space="preserve">Každý, kdo veřejně </w:t>
      </w:r>
      <w:r w:rsidR="000B5B0F" w:rsidRPr="00862E6F">
        <w:t xml:space="preserve">vydává nové krypto aktivum </w:t>
      </w:r>
      <w:r w:rsidR="00DE6B3A" w:rsidRPr="00862E6F">
        <w:t>nebo požádá o jeho přijetí k obchodování na burze, musí také zveřejnit informační dokument – takzvaný „</w:t>
      </w:r>
      <w:proofErr w:type="spellStart"/>
      <w:r w:rsidR="00DE6B3A" w:rsidRPr="00862E6F">
        <w:t>crypto-asset</w:t>
      </w:r>
      <w:proofErr w:type="spellEnd"/>
      <w:r w:rsidR="00DE6B3A" w:rsidRPr="00862E6F">
        <w:t xml:space="preserve"> </w:t>
      </w:r>
      <w:proofErr w:type="spellStart"/>
      <w:r w:rsidR="00DE6B3A" w:rsidRPr="00862E6F">
        <w:t>whitepaper</w:t>
      </w:r>
      <w:proofErr w:type="spellEnd"/>
      <w:r w:rsidR="00DE6B3A" w:rsidRPr="00862E6F">
        <w:t>“.</w:t>
      </w:r>
      <w:r w:rsidR="006251F8" w:rsidRPr="00862E6F">
        <w:t xml:space="preserve"> </w:t>
      </w:r>
      <w:r w:rsidR="004F3815" w:rsidRPr="004F3815">
        <w:t>Tento dokument m</w:t>
      </w:r>
      <w:r w:rsidR="004F3815" w:rsidRPr="00862E6F">
        <w:t>usí</w:t>
      </w:r>
      <w:r w:rsidR="004F3815" w:rsidRPr="004F3815">
        <w:t xml:space="preserve"> obsahovat srozumitelné informace o projektu, právech spojených s tokenem, technologii, rizicích atd. – podobně jako prospekt cenného papíru při </w:t>
      </w:r>
      <w:r w:rsidR="00862E6F" w:rsidRPr="00862E6F">
        <w:t>primární veřejné nabídce (</w:t>
      </w:r>
      <w:r w:rsidR="004F3815" w:rsidRPr="004F3815">
        <w:t>IPO</w:t>
      </w:r>
      <w:r w:rsidR="00862E6F" w:rsidRPr="00862E6F">
        <w:t>)</w:t>
      </w:r>
      <w:r w:rsidR="004F3815" w:rsidRPr="004F3815">
        <w:t xml:space="preserve">. </w:t>
      </w:r>
      <w:proofErr w:type="spellStart"/>
      <w:r w:rsidR="004F3815" w:rsidRPr="004F3815">
        <w:t>Whitepaper</w:t>
      </w:r>
      <w:proofErr w:type="spellEnd"/>
      <w:r w:rsidR="004F3815" w:rsidRPr="004F3815">
        <w:t xml:space="preserve"> se bude pouze notifikovat u regulátora, nemusí předem schvalovat, ale za jeho pravdivost a úplnost ručí vydavatel.</w:t>
      </w:r>
    </w:p>
    <w:p w14:paraId="4CE0BB4D" w14:textId="766C0F0A" w:rsidR="004C4019" w:rsidRPr="002177B3" w:rsidRDefault="008C432C" w:rsidP="002177B3">
      <w:r w:rsidRPr="002177B3">
        <w:t xml:space="preserve">Co se stane, když krypto firma poruší nařízení </w:t>
      </w:r>
      <w:proofErr w:type="spellStart"/>
      <w:r w:rsidRPr="002177B3">
        <w:t>MiCA</w:t>
      </w:r>
      <w:proofErr w:type="spellEnd"/>
      <w:r w:rsidRPr="002177B3">
        <w:t xml:space="preserve">? </w:t>
      </w:r>
      <w:r w:rsidR="006453DE" w:rsidRPr="002177B3">
        <w:t>Reguláto</w:t>
      </w:r>
      <w:r w:rsidR="00FF61B5">
        <w:t>r</w:t>
      </w:r>
      <w:r w:rsidR="006453DE" w:rsidRPr="002177B3">
        <w:t xml:space="preserve"> má pravomoc udělit pokutu až do výše 20 milionů EUR nebo 5 % celkového ročního obratu firmy</w:t>
      </w:r>
      <w:r w:rsidR="00AC5368" w:rsidRPr="002177B3">
        <w:t xml:space="preserve">, podle toho, co je vyšší. </w:t>
      </w:r>
      <w:r w:rsidR="006453DE" w:rsidRPr="006453DE">
        <w:t>Například pokračování provozu neregulované burzy</w:t>
      </w:r>
      <w:r w:rsidR="00487EA7" w:rsidRPr="002177B3">
        <w:t>, tedy bez licence od ČNB,</w:t>
      </w:r>
      <w:r w:rsidR="006453DE" w:rsidRPr="006453DE">
        <w:t xml:space="preserve"> by mohlo vést k pokutě i v řádu stovek milionů korun. </w:t>
      </w:r>
      <w:r w:rsidR="00487EA7" w:rsidRPr="002177B3">
        <w:t>Ale i</w:t>
      </w:r>
      <w:r w:rsidR="006453DE" w:rsidRPr="006453DE">
        <w:t xml:space="preserve"> méně závažná porušení mohou být citelně trestána</w:t>
      </w:r>
      <w:r w:rsidR="00EA57C3" w:rsidRPr="002177B3">
        <w:t>. Nařízení</w:t>
      </w:r>
      <w:r w:rsidR="006453DE" w:rsidRPr="006453DE">
        <w:t xml:space="preserve"> </w:t>
      </w:r>
      <w:proofErr w:type="spellStart"/>
      <w:r w:rsidR="006453DE" w:rsidRPr="006453DE">
        <w:t>MiCA</w:t>
      </w:r>
      <w:proofErr w:type="spellEnd"/>
      <w:r w:rsidR="006453DE" w:rsidRPr="006453DE">
        <w:t xml:space="preserve"> stanov</w:t>
      </w:r>
      <w:r w:rsidR="00EA57C3" w:rsidRPr="002177B3">
        <w:t>uje pokuty i pro jednotlivce (manažery kryp</w:t>
      </w:r>
      <w:r w:rsidR="004C7740" w:rsidRPr="002177B3">
        <w:t>t</w:t>
      </w:r>
      <w:r w:rsidR="00EA57C3" w:rsidRPr="002177B3">
        <w:t>o firem)</w:t>
      </w:r>
      <w:r w:rsidR="006453DE" w:rsidRPr="006453DE">
        <w:t xml:space="preserve"> až do 700 tisíc </w:t>
      </w:r>
      <w:r w:rsidR="004C7740" w:rsidRPr="002177B3">
        <w:t>eur</w:t>
      </w:r>
      <w:r w:rsidR="006453DE" w:rsidRPr="006453DE">
        <w:t>.</w:t>
      </w:r>
      <w:r w:rsidR="002177B3" w:rsidRPr="002177B3">
        <w:t xml:space="preserve"> S</w:t>
      </w:r>
      <w:r w:rsidR="006453DE" w:rsidRPr="006453DE">
        <w:t xml:space="preserve">ankce se </w:t>
      </w:r>
      <w:r w:rsidR="002177B3" w:rsidRPr="002177B3">
        <w:t xml:space="preserve">navíc </w:t>
      </w:r>
      <w:r w:rsidR="006453DE" w:rsidRPr="006453DE">
        <w:t>mohou</w:t>
      </w:r>
      <w:r w:rsidR="003F2DB8">
        <w:t>,</w:t>
      </w:r>
      <w:r w:rsidR="006453DE" w:rsidRPr="006453DE">
        <w:t xml:space="preserve"> </w:t>
      </w:r>
      <w:r w:rsidR="00735B07">
        <w:t>při zachování zásad správního trestání</w:t>
      </w:r>
      <w:r w:rsidR="003F2DB8">
        <w:t>,</w:t>
      </w:r>
      <w:r w:rsidR="00735B07">
        <w:t xml:space="preserve"> </w:t>
      </w:r>
      <w:r w:rsidR="006453DE" w:rsidRPr="006453DE">
        <w:t>sčítat</w:t>
      </w:r>
      <w:r w:rsidR="002177B3" w:rsidRPr="002177B3">
        <w:t>. Pokud nějaká krypto firma poruší více povinností, může jí být uděleno několik pokut souběžně.</w:t>
      </w:r>
    </w:p>
    <w:p w14:paraId="7E7588AC" w14:textId="24FA8C35" w:rsidR="002177B3" w:rsidRDefault="002177B3" w:rsidP="002177B3">
      <w:r>
        <w:t xml:space="preserve">Před čím ale nařízení </w:t>
      </w:r>
      <w:proofErr w:type="spellStart"/>
      <w:r>
        <w:t>MiCA</w:t>
      </w:r>
      <w:proofErr w:type="spellEnd"/>
      <w:r>
        <w:t xml:space="preserve"> drobného investora neochrání, jsou rizika, která vyplývají z vlastností krypto aktiv. Rozhodně si nemůžeme myslet, že implementací zmíněných pravidel se z kryptoměn najednou stanou produkty z hlediska bezpečnosti srovnatelné například s termínovanými vklady v bankách.</w:t>
      </w:r>
    </w:p>
    <w:p w14:paraId="78A13144" w14:textId="6AE061CC" w:rsidR="002177B3" w:rsidRDefault="002177B3" w:rsidP="002177B3">
      <w:r>
        <w:t>Stále je třeba mít na paměti, že investice do krypto aktiv je poměrně riziková</w:t>
      </w:r>
      <w:r w:rsidR="00F52FFC">
        <w:t xml:space="preserve">, například podobně jako do akcií. Žádná regulace nedokáže zajistit, že krypto aktiva nebudou podléhat volatilitě </w:t>
      </w:r>
      <w:r w:rsidR="001870D7">
        <w:t>vlastní hodnoty. Uvedená pravidla by pouze měla zajistit, že společnost</w:t>
      </w:r>
      <w:r w:rsidR="000C4B51">
        <w:t xml:space="preserve"> s platnými povoleními </w:t>
      </w:r>
      <w:r w:rsidR="00C43163">
        <w:t>peníze nezpronevěří</w:t>
      </w:r>
      <w:r w:rsidR="000C4B51">
        <w:t xml:space="preserve"> a </w:t>
      </w:r>
      <w:r w:rsidR="00C43163">
        <w:t xml:space="preserve">lidé, kteří v ní pracují, </w:t>
      </w:r>
      <w:r w:rsidR="00C704FE">
        <w:t xml:space="preserve">rozumí tomu, co drobným investorům nabízí. Finální rozhodnutí o investici do krypta </w:t>
      </w:r>
      <w:r w:rsidR="00B055E6">
        <w:t>či obdobného produktu z oblasti digitálních financí zůstává na investorovi</w:t>
      </w:r>
      <w:r w:rsidR="00665A1B">
        <w:t>, který je také za toto rozhodnutí zodpovědný a své investiční riziko nese sám.</w:t>
      </w:r>
    </w:p>
    <w:p w14:paraId="45C33A53" w14:textId="77777777" w:rsidR="00DA3017" w:rsidRPr="00FD60B8" w:rsidRDefault="00DA3017" w:rsidP="00DA3017">
      <w:pPr>
        <w:pStyle w:val="Normlnweb"/>
        <w:shd w:val="clear" w:color="auto" w:fill="FFFFFF"/>
        <w:spacing w:before="300" w:after="0"/>
        <w:rPr>
          <w:rFonts w:asciiTheme="minorHAnsi" w:hAnsiTheme="minorHAnsi" w:cstheme="minorBidi"/>
          <w:b/>
          <w:bCs/>
          <w:sz w:val="22"/>
          <w:szCs w:val="22"/>
        </w:rPr>
      </w:pPr>
      <w:r w:rsidRPr="00FD60B8">
        <w:rPr>
          <w:rFonts w:asciiTheme="minorHAnsi" w:hAnsiTheme="minorHAnsi" w:cstheme="minorBidi"/>
          <w:b/>
          <w:bCs/>
          <w:sz w:val="22"/>
          <w:szCs w:val="22"/>
        </w:rPr>
        <w:t xml:space="preserve">Posláním </w:t>
      </w:r>
      <w:hyperlink r:id="rId6" w:history="1">
        <w:r w:rsidRPr="00D62A80">
          <w:rPr>
            <w:rStyle w:val="Hypertextovodkaz"/>
            <w:rFonts w:asciiTheme="minorHAnsi" w:hAnsiTheme="minorHAnsi" w:cstheme="minorBidi"/>
            <w:b/>
            <w:bCs/>
            <w:sz w:val="22"/>
            <w:szCs w:val="22"/>
          </w:rPr>
          <w:t>Ambasadora investorů</w:t>
        </w:r>
      </w:hyperlink>
      <w:r w:rsidRPr="00FD60B8">
        <w:rPr>
          <w:rFonts w:asciiTheme="minorHAnsi" w:hAnsiTheme="minorHAnsi" w:cstheme="minorBidi"/>
          <w:b/>
          <w:bCs/>
          <w:sz w:val="22"/>
          <w:szCs w:val="22"/>
        </w:rPr>
        <w:t>, na jehož činnosti se podílí Spotřebitelské fórum se Sdružením českých spotřebitelů, je naslouchat retailovým obchodníkům na kapitálových trzích, kteří mají připomínky ke svému brokerovi, resp. poskytovateli obchodní platformy. Domníváte se, že vaše potíže nebyly nebo nemohou být přímým jednáním vyřešeny? Ambasador investorů vám může pomoci zprostředkovat řešení a odpovědět na vaše základní dotazy i případné stížnosti.</w:t>
      </w:r>
    </w:p>
    <w:p w14:paraId="7186B100" w14:textId="77777777" w:rsidR="00DA3017" w:rsidRDefault="00DA3017" w:rsidP="00DA3017">
      <w:pPr>
        <w:spacing w:after="0"/>
        <w:rPr>
          <w:i/>
          <w:iCs/>
        </w:rPr>
      </w:pPr>
    </w:p>
    <w:p w14:paraId="7DCBA630" w14:textId="77777777" w:rsidR="00DA3017" w:rsidRDefault="00DA3017" w:rsidP="00DA3017">
      <w:pPr>
        <w:spacing w:after="0"/>
        <w:rPr>
          <w:i/>
          <w:iCs/>
        </w:rPr>
      </w:pPr>
    </w:p>
    <w:p w14:paraId="68BEADB3" w14:textId="77777777" w:rsidR="00DA3017" w:rsidRDefault="00DA3017" w:rsidP="00DA3017">
      <w:pPr>
        <w:spacing w:after="0"/>
        <w:rPr>
          <w:i/>
          <w:iCs/>
        </w:rPr>
      </w:pPr>
    </w:p>
    <w:p w14:paraId="60E5E15E" w14:textId="08B37C92" w:rsidR="00DA3017" w:rsidRPr="00735838" w:rsidRDefault="00DA3017" w:rsidP="00DA3017">
      <w:pPr>
        <w:spacing w:after="0"/>
        <w:rPr>
          <w:i/>
          <w:iCs/>
        </w:rPr>
      </w:pPr>
      <w:r w:rsidRPr="00735838">
        <w:rPr>
          <w:i/>
          <w:iCs/>
        </w:rPr>
        <w:lastRenderedPageBreak/>
        <w:t>Kontakt:</w:t>
      </w:r>
    </w:p>
    <w:p w14:paraId="6E03C543" w14:textId="77777777" w:rsidR="00DA3017" w:rsidRDefault="00DA3017" w:rsidP="00DA3017">
      <w:pPr>
        <w:spacing w:after="0"/>
      </w:pPr>
      <w:hyperlink r:id="rId7" w:history="1">
        <w:r w:rsidRPr="00A13B91">
          <w:rPr>
            <w:rStyle w:val="Hypertextovodkaz"/>
          </w:rPr>
          <w:t>info@ambasadorinvestoru.cz</w:t>
        </w:r>
      </w:hyperlink>
    </w:p>
    <w:p w14:paraId="21B38DAF" w14:textId="77777777" w:rsidR="00DA3017" w:rsidRDefault="00DA3017" w:rsidP="00DA3017">
      <w:pPr>
        <w:spacing w:after="0"/>
      </w:pPr>
      <w:r w:rsidRPr="00584132">
        <w:t>+420 261 263 574 (</w:t>
      </w:r>
      <w:proofErr w:type="gramStart"/>
      <w:r w:rsidRPr="00584132">
        <w:t>pondělí – pátek</w:t>
      </w:r>
      <w:proofErr w:type="gramEnd"/>
      <w:r w:rsidRPr="00584132">
        <w:t xml:space="preserve"> 9:00 – 12:00)</w:t>
      </w:r>
    </w:p>
    <w:p w14:paraId="004F2D3F" w14:textId="77777777" w:rsidR="00DA3017" w:rsidRPr="00584132" w:rsidRDefault="00DA3017" w:rsidP="00DA3017">
      <w:pPr>
        <w:spacing w:after="0"/>
      </w:pPr>
      <w:r>
        <w:t>www.ambasadorinvestoru.cz</w:t>
      </w:r>
    </w:p>
    <w:p w14:paraId="59DE71DE" w14:textId="77777777" w:rsidR="00DA3017" w:rsidRDefault="00DA3017" w:rsidP="002177B3"/>
    <w:p w14:paraId="17A4161D" w14:textId="1CF7DD9C" w:rsidR="00DA3017" w:rsidRDefault="00DA3017" w:rsidP="00DA3017">
      <w:r>
        <w:t>Použité z</w:t>
      </w:r>
      <w:r>
        <w:t>droje:</w:t>
      </w:r>
    </w:p>
    <w:p w14:paraId="0CF10D29" w14:textId="77777777" w:rsidR="00DA3017" w:rsidRDefault="00DA3017" w:rsidP="00DA3017">
      <w:hyperlink r:id="rId8" w:history="1">
        <w:r w:rsidRPr="00907146">
          <w:rPr>
            <w:rStyle w:val="Hypertextovodkaz"/>
          </w:rPr>
          <w:t>https://www.cnb.cz/cs/verejnost/servis-pro-media/autorske-clanky-rozhovory-s-predstaviteli-cnb/Jan-Prochazka-MiCA-prinasi-pravidla-ale-riziko-pro-investory-nezmizi/</w:t>
        </w:r>
      </w:hyperlink>
    </w:p>
    <w:p w14:paraId="1692A155" w14:textId="77777777" w:rsidR="00DA3017" w:rsidRDefault="00DA3017" w:rsidP="00DA3017">
      <w:hyperlink r:id="rId9" w:history="1">
        <w:r w:rsidRPr="00907146">
          <w:rPr>
            <w:rStyle w:val="Hypertextovodkaz"/>
          </w:rPr>
          <w:t>https://www.cnb.cz/cs/o_cnb/106/informace-poskytnute-ceskou-narodni-bankou-podle-zakona-c.-106-1999-sb.-o-svobodnem-pristupu-k-informacim/Informace-poskytnute-na-zadost-ze-dne-8.nbsp11.nbsp-2025-tykajici-se-rizeni-dle-narizeni-MiCA/</w:t>
        </w:r>
      </w:hyperlink>
    </w:p>
    <w:p w14:paraId="1243FFA4" w14:textId="77777777" w:rsidR="00DA3017" w:rsidRDefault="00DA3017" w:rsidP="00DA3017">
      <w:hyperlink r:id="rId10" w:history="1">
        <w:r w:rsidRPr="00907146">
          <w:rPr>
            <w:rStyle w:val="Hypertextovodkaz"/>
          </w:rPr>
          <w:t>https://www.ecovislegal.cz/aktuality/digitalizace-a-prumysl-4-0/regulace-kryptoaktiv-v-eu-narizeni-mica-a-jeho-vliv-na-cr/</w:t>
        </w:r>
      </w:hyperlink>
    </w:p>
    <w:p w14:paraId="55B2EE2D" w14:textId="77777777" w:rsidR="00DA3017" w:rsidRDefault="00DA3017" w:rsidP="00DA3017">
      <w:hyperlink r:id="rId11" w:history="1">
        <w:r w:rsidRPr="00907146">
          <w:rPr>
            <w:rStyle w:val="Hypertextovodkaz"/>
          </w:rPr>
          <w:t>https://arws.cz/novinky-v-arrows/nova-era-regulace-kryptomen-v-eu</w:t>
        </w:r>
      </w:hyperlink>
    </w:p>
    <w:p w14:paraId="4C6805A5" w14:textId="77777777" w:rsidR="00DA3017" w:rsidRDefault="00DA3017" w:rsidP="00DA3017">
      <w:hyperlink r:id="rId12" w:history="1">
        <w:r w:rsidRPr="00907146">
          <w:rPr>
            <w:rStyle w:val="Hypertextovodkaz"/>
          </w:rPr>
          <w:t>https://greats.cz/mica-a-cnb-jak-se-vyhnout-nejcastejsim-chybam-pri-podani-zadosti-o-licenci/</w:t>
        </w:r>
      </w:hyperlink>
    </w:p>
    <w:p w14:paraId="61265BFE" w14:textId="77777777" w:rsidR="00DA3017" w:rsidRDefault="00DA3017" w:rsidP="002177B3"/>
    <w:sectPr w:rsidR="00DA30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E5F56" w14:textId="77777777" w:rsidR="006F5880" w:rsidRDefault="006F5880" w:rsidP="00885675">
      <w:pPr>
        <w:spacing w:after="0" w:line="240" w:lineRule="auto"/>
      </w:pPr>
      <w:r>
        <w:separator/>
      </w:r>
    </w:p>
  </w:endnote>
  <w:endnote w:type="continuationSeparator" w:id="0">
    <w:p w14:paraId="015FE575" w14:textId="77777777" w:rsidR="006F5880" w:rsidRDefault="006F5880" w:rsidP="008856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A40CC" w14:textId="77777777" w:rsidR="006F5880" w:rsidRDefault="006F5880" w:rsidP="00885675">
      <w:pPr>
        <w:spacing w:after="0" w:line="240" w:lineRule="auto"/>
      </w:pPr>
      <w:r>
        <w:separator/>
      </w:r>
    </w:p>
  </w:footnote>
  <w:footnote w:type="continuationSeparator" w:id="0">
    <w:p w14:paraId="46362A19" w14:textId="77777777" w:rsidR="006F5880" w:rsidRDefault="006F5880" w:rsidP="0088567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4019"/>
    <w:rsid w:val="00041AF2"/>
    <w:rsid w:val="00067E1A"/>
    <w:rsid w:val="000A18FA"/>
    <w:rsid w:val="000B28E0"/>
    <w:rsid w:val="000B2F2D"/>
    <w:rsid w:val="000B5B0F"/>
    <w:rsid w:val="000C4B51"/>
    <w:rsid w:val="0016101A"/>
    <w:rsid w:val="001870D7"/>
    <w:rsid w:val="002100AD"/>
    <w:rsid w:val="002177B3"/>
    <w:rsid w:val="00241B1C"/>
    <w:rsid w:val="0031676E"/>
    <w:rsid w:val="003501E2"/>
    <w:rsid w:val="00351DAF"/>
    <w:rsid w:val="0038159B"/>
    <w:rsid w:val="003F2DB8"/>
    <w:rsid w:val="004663BF"/>
    <w:rsid w:val="00476D62"/>
    <w:rsid w:val="00487EA7"/>
    <w:rsid w:val="004C4019"/>
    <w:rsid w:val="004C7740"/>
    <w:rsid w:val="004F3815"/>
    <w:rsid w:val="005D0D02"/>
    <w:rsid w:val="005E3912"/>
    <w:rsid w:val="006251F8"/>
    <w:rsid w:val="0064004E"/>
    <w:rsid w:val="006408CB"/>
    <w:rsid w:val="006453DE"/>
    <w:rsid w:val="006458B9"/>
    <w:rsid w:val="006635CD"/>
    <w:rsid w:val="00665A1B"/>
    <w:rsid w:val="006F5880"/>
    <w:rsid w:val="00704606"/>
    <w:rsid w:val="00735B07"/>
    <w:rsid w:val="007760A6"/>
    <w:rsid w:val="007875B1"/>
    <w:rsid w:val="007F3F19"/>
    <w:rsid w:val="00862E6F"/>
    <w:rsid w:val="00885675"/>
    <w:rsid w:val="008C432C"/>
    <w:rsid w:val="009A682E"/>
    <w:rsid w:val="009B6AE8"/>
    <w:rsid w:val="009D6206"/>
    <w:rsid w:val="00A55AEE"/>
    <w:rsid w:val="00AB25BD"/>
    <w:rsid w:val="00AB4141"/>
    <w:rsid w:val="00AC5368"/>
    <w:rsid w:val="00AD68EB"/>
    <w:rsid w:val="00AF38F9"/>
    <w:rsid w:val="00B05571"/>
    <w:rsid w:val="00B055E6"/>
    <w:rsid w:val="00B44D98"/>
    <w:rsid w:val="00B50D2D"/>
    <w:rsid w:val="00BC506A"/>
    <w:rsid w:val="00C13791"/>
    <w:rsid w:val="00C230EB"/>
    <w:rsid w:val="00C43163"/>
    <w:rsid w:val="00C671F2"/>
    <w:rsid w:val="00C704FE"/>
    <w:rsid w:val="00C83365"/>
    <w:rsid w:val="00CC7EFA"/>
    <w:rsid w:val="00CD4574"/>
    <w:rsid w:val="00CE3939"/>
    <w:rsid w:val="00D807E0"/>
    <w:rsid w:val="00DA3017"/>
    <w:rsid w:val="00DC2D9C"/>
    <w:rsid w:val="00DE6B3A"/>
    <w:rsid w:val="00E172A3"/>
    <w:rsid w:val="00E83854"/>
    <w:rsid w:val="00EA57C3"/>
    <w:rsid w:val="00F50F1E"/>
    <w:rsid w:val="00F52FFC"/>
    <w:rsid w:val="00F56A64"/>
    <w:rsid w:val="00FE1FA1"/>
    <w:rsid w:val="00FE7CAD"/>
    <w:rsid w:val="00FF61B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025E96"/>
  <w15:chartTrackingRefBased/>
  <w15:docId w15:val="{D529F6B4-1165-4B88-8342-08131D697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4C40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4C40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4C4019"/>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4C4019"/>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4C4019"/>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4C4019"/>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4C4019"/>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4C4019"/>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4C4019"/>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C4019"/>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4C4019"/>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4C4019"/>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4C4019"/>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4C4019"/>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4C401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4C401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4C401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4C4019"/>
    <w:rPr>
      <w:rFonts w:eastAsiaTheme="majorEastAsia" w:cstheme="majorBidi"/>
      <w:color w:val="272727" w:themeColor="text1" w:themeTint="D8"/>
    </w:rPr>
  </w:style>
  <w:style w:type="paragraph" w:styleId="Nzev">
    <w:name w:val="Title"/>
    <w:basedOn w:val="Normln"/>
    <w:next w:val="Normln"/>
    <w:link w:val="NzevChar"/>
    <w:uiPriority w:val="10"/>
    <w:qFormat/>
    <w:rsid w:val="004C40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4C401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4C401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4C401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4C4019"/>
    <w:pPr>
      <w:spacing w:before="160"/>
      <w:jc w:val="center"/>
    </w:pPr>
    <w:rPr>
      <w:i/>
      <w:iCs/>
      <w:color w:val="404040" w:themeColor="text1" w:themeTint="BF"/>
    </w:rPr>
  </w:style>
  <w:style w:type="character" w:customStyle="1" w:styleId="CittChar">
    <w:name w:val="Citát Char"/>
    <w:basedOn w:val="Standardnpsmoodstavce"/>
    <w:link w:val="Citt"/>
    <w:uiPriority w:val="29"/>
    <w:rsid w:val="004C4019"/>
    <w:rPr>
      <w:i/>
      <w:iCs/>
      <w:color w:val="404040" w:themeColor="text1" w:themeTint="BF"/>
    </w:rPr>
  </w:style>
  <w:style w:type="paragraph" w:styleId="Odstavecseseznamem">
    <w:name w:val="List Paragraph"/>
    <w:basedOn w:val="Normln"/>
    <w:uiPriority w:val="34"/>
    <w:qFormat/>
    <w:rsid w:val="004C4019"/>
    <w:pPr>
      <w:ind w:left="720"/>
      <w:contextualSpacing/>
    </w:pPr>
  </w:style>
  <w:style w:type="character" w:styleId="Zdraznnintenzivn">
    <w:name w:val="Intense Emphasis"/>
    <w:basedOn w:val="Standardnpsmoodstavce"/>
    <w:uiPriority w:val="21"/>
    <w:qFormat/>
    <w:rsid w:val="004C4019"/>
    <w:rPr>
      <w:i/>
      <w:iCs/>
      <w:color w:val="0F4761" w:themeColor="accent1" w:themeShade="BF"/>
    </w:rPr>
  </w:style>
  <w:style w:type="paragraph" w:styleId="Vrazncitt">
    <w:name w:val="Intense Quote"/>
    <w:basedOn w:val="Normln"/>
    <w:next w:val="Normln"/>
    <w:link w:val="VrazncittChar"/>
    <w:uiPriority w:val="30"/>
    <w:qFormat/>
    <w:rsid w:val="004C40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4C4019"/>
    <w:rPr>
      <w:i/>
      <w:iCs/>
      <w:color w:val="0F4761" w:themeColor="accent1" w:themeShade="BF"/>
    </w:rPr>
  </w:style>
  <w:style w:type="character" w:styleId="Odkazintenzivn">
    <w:name w:val="Intense Reference"/>
    <w:basedOn w:val="Standardnpsmoodstavce"/>
    <w:uiPriority w:val="32"/>
    <w:qFormat/>
    <w:rsid w:val="004C4019"/>
    <w:rPr>
      <w:b/>
      <w:bCs/>
      <w:smallCaps/>
      <w:color w:val="0F4761" w:themeColor="accent1" w:themeShade="BF"/>
      <w:spacing w:val="5"/>
    </w:rPr>
  </w:style>
  <w:style w:type="paragraph" w:styleId="Normlnweb">
    <w:name w:val="Normal (Web)"/>
    <w:basedOn w:val="Normln"/>
    <w:uiPriority w:val="99"/>
    <w:semiHidden/>
    <w:unhideWhenUsed/>
    <w:rsid w:val="00A55AEE"/>
    <w:rPr>
      <w:rFonts w:ascii="Times New Roman" w:hAnsi="Times New Roman" w:cs="Times New Roman"/>
      <w:sz w:val="24"/>
      <w:szCs w:val="24"/>
    </w:rPr>
  </w:style>
  <w:style w:type="character" w:styleId="Hypertextovodkaz">
    <w:name w:val="Hyperlink"/>
    <w:basedOn w:val="Standardnpsmoodstavce"/>
    <w:uiPriority w:val="99"/>
    <w:unhideWhenUsed/>
    <w:rsid w:val="00C13791"/>
    <w:rPr>
      <w:color w:val="467886" w:themeColor="hyperlink"/>
      <w:u w:val="single"/>
    </w:rPr>
  </w:style>
  <w:style w:type="character" w:styleId="Nevyeenzmnka">
    <w:name w:val="Unresolved Mention"/>
    <w:basedOn w:val="Standardnpsmoodstavce"/>
    <w:uiPriority w:val="99"/>
    <w:semiHidden/>
    <w:unhideWhenUsed/>
    <w:rsid w:val="00C13791"/>
    <w:rPr>
      <w:color w:val="605E5C"/>
      <w:shd w:val="clear" w:color="auto" w:fill="E1DFDD"/>
    </w:rPr>
  </w:style>
  <w:style w:type="paragraph" w:styleId="Zhlav">
    <w:name w:val="header"/>
    <w:basedOn w:val="Normln"/>
    <w:link w:val="ZhlavChar"/>
    <w:uiPriority w:val="99"/>
    <w:unhideWhenUsed/>
    <w:rsid w:val="00885675"/>
    <w:pPr>
      <w:tabs>
        <w:tab w:val="center" w:pos="4680"/>
        <w:tab w:val="right" w:pos="9360"/>
      </w:tabs>
      <w:spacing w:after="0" w:line="240" w:lineRule="auto"/>
    </w:pPr>
  </w:style>
  <w:style w:type="character" w:customStyle="1" w:styleId="ZhlavChar">
    <w:name w:val="Záhlaví Char"/>
    <w:basedOn w:val="Standardnpsmoodstavce"/>
    <w:link w:val="Zhlav"/>
    <w:uiPriority w:val="99"/>
    <w:rsid w:val="00885675"/>
  </w:style>
  <w:style w:type="paragraph" w:styleId="Zpat">
    <w:name w:val="footer"/>
    <w:basedOn w:val="Normln"/>
    <w:link w:val="ZpatChar"/>
    <w:uiPriority w:val="99"/>
    <w:unhideWhenUsed/>
    <w:rsid w:val="00885675"/>
    <w:pPr>
      <w:tabs>
        <w:tab w:val="center" w:pos="4680"/>
        <w:tab w:val="right" w:pos="9360"/>
      </w:tabs>
      <w:spacing w:after="0" w:line="240" w:lineRule="auto"/>
    </w:pPr>
  </w:style>
  <w:style w:type="character" w:customStyle="1" w:styleId="ZpatChar">
    <w:name w:val="Zápatí Char"/>
    <w:basedOn w:val="Standardnpsmoodstavce"/>
    <w:link w:val="Zpat"/>
    <w:uiPriority w:val="99"/>
    <w:rsid w:val="008856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nb.cz/cs/verejnost/servis-pro-media/autorske-clanky-rozhovory-s-predstaviteli-cnb/Jan-Prochazka-MiCA-prinasi-pravidla-ale-riziko-pro-investory-nezmizi/"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info@ambasadorinvestoru.cz" TargetMode="External"/><Relationship Id="rId12" Type="http://schemas.openxmlformats.org/officeDocument/2006/relationships/hyperlink" Target="https://greats.cz/mica-a-cnb-jak-se-vyhnout-nejcastejsim-chybam-pri-podani-zadosti-o-licenc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mbasadorinvestoru.cz/" TargetMode="External"/><Relationship Id="rId11" Type="http://schemas.openxmlformats.org/officeDocument/2006/relationships/hyperlink" Target="https://arws.cz/novinky-v-arrows/nova-era-regulace-kryptomen-v-eu" TargetMode="External"/><Relationship Id="rId5" Type="http://schemas.openxmlformats.org/officeDocument/2006/relationships/endnotes" Target="endnotes.xml"/><Relationship Id="rId10" Type="http://schemas.openxmlformats.org/officeDocument/2006/relationships/hyperlink" Target="https://www.ecovislegal.cz/aktuality/digitalizace-a-prumysl-4-0/regulace-kryptoaktiv-v-eu-narizeni-mica-a-jeho-vliv-na-cr/" TargetMode="External"/><Relationship Id="rId4" Type="http://schemas.openxmlformats.org/officeDocument/2006/relationships/footnotes" Target="footnotes.xml"/><Relationship Id="rId9" Type="http://schemas.openxmlformats.org/officeDocument/2006/relationships/hyperlink" Target="https://www.cnb.cz/cs/o_cnb/106/informace-poskytnute-ceskou-narodni-bankou-podle-zakona-c.-106-1999-sb.-o-svobodnem-pristupu-k-informacim/Informace-poskytnute-na-zadost-ze-dne-8.nbsp11.nbsp-2025-tykajici-se-rizeni-dle-narizeni-MiCA/"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1202</Words>
  <Characters>7096</Characters>
  <Application>Microsoft Office Word</Application>
  <DocSecurity>0</DocSecurity>
  <Lines>59</Lines>
  <Paragraphs>16</Paragraphs>
  <ScaleCrop>false</ScaleCrop>
  <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Krystof Krulis</cp:lastModifiedBy>
  <cp:revision>5</cp:revision>
  <dcterms:created xsi:type="dcterms:W3CDTF">2026-01-09T13:46:00Z</dcterms:created>
  <dcterms:modified xsi:type="dcterms:W3CDTF">2026-01-13T15:51:00Z</dcterms:modified>
</cp:coreProperties>
</file>