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962BF" w14:textId="77777777" w:rsidR="00D35E59" w:rsidRDefault="00D35E59" w:rsidP="00D35E59">
      <w:pPr>
        <w:jc w:val="center"/>
        <w:rPr>
          <w:b/>
          <w:bCs/>
        </w:rPr>
      </w:pPr>
      <w:r>
        <w:rPr>
          <w:noProof/>
        </w:rPr>
        <w:drawing>
          <wp:inline distT="0" distB="0" distL="0" distR="0" wp14:anchorId="4B513BDD" wp14:editId="06725ED0">
            <wp:extent cx="579120" cy="5791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inline>
        </w:drawing>
      </w:r>
    </w:p>
    <w:p w14:paraId="0DDE01B2" w14:textId="77777777" w:rsidR="00D35E59" w:rsidRDefault="00D35E59" w:rsidP="00D35E59">
      <w:pPr>
        <w:rPr>
          <w:b/>
          <w:bCs/>
        </w:rPr>
      </w:pPr>
      <w:r w:rsidRPr="00587FCD">
        <w:t xml:space="preserve">V Praze, </w:t>
      </w:r>
      <w:r>
        <w:t>říjen</w:t>
      </w:r>
      <w:r w:rsidRPr="00587FCD">
        <w:t xml:space="preserve"> 202</w:t>
      </w:r>
      <w:r>
        <w:t>6</w:t>
      </w:r>
    </w:p>
    <w:p w14:paraId="18F3C802" w14:textId="77777777" w:rsidR="00D35E59" w:rsidRDefault="00D35E59" w:rsidP="00D35E59">
      <w:pPr>
        <w:pStyle w:val="menuitem"/>
        <w:spacing w:before="0" w:beforeAutospacing="0" w:after="0" w:afterAutospacing="0"/>
        <w:rPr>
          <w:b/>
          <w:bCs/>
        </w:rPr>
      </w:pPr>
      <w:r w:rsidRPr="00304383">
        <w:rPr>
          <w:b/>
          <w:bCs/>
        </w:rPr>
        <w:t>Proč investování na regulovaných trzích ne</w:t>
      </w:r>
      <w:r>
        <w:rPr>
          <w:b/>
          <w:bCs/>
        </w:rPr>
        <w:t xml:space="preserve">lze </w:t>
      </w:r>
      <w:r w:rsidRPr="00304383">
        <w:rPr>
          <w:b/>
          <w:bCs/>
        </w:rPr>
        <w:t>zaměňovat s predikčními trhy</w:t>
      </w:r>
    </w:p>
    <w:p w14:paraId="5B4CACFF" w14:textId="77777777" w:rsidR="00D35E59" w:rsidRPr="00304383" w:rsidRDefault="00D35E59" w:rsidP="00D35E59">
      <w:pPr>
        <w:pStyle w:val="menuitem"/>
        <w:spacing w:before="0" w:beforeAutospacing="0" w:after="0" w:afterAutospacing="0"/>
        <w:rPr>
          <w:b/>
          <w:bCs/>
        </w:rPr>
      </w:pPr>
    </w:p>
    <w:p w14:paraId="27959C4A" w14:textId="77777777" w:rsidR="00D35E59" w:rsidRPr="00304383" w:rsidRDefault="00D35E59" w:rsidP="00D35E59">
      <w:pPr>
        <w:pStyle w:val="menuitem"/>
        <w:spacing w:before="0" w:beforeAutospacing="0" w:after="0" w:afterAutospacing="0"/>
        <w:rPr>
          <w:i/>
          <w:iCs/>
        </w:rPr>
      </w:pPr>
      <w:r w:rsidRPr="00304383">
        <w:rPr>
          <w:i/>
          <w:iCs/>
        </w:rPr>
        <w:t xml:space="preserve">Finanční trhy nejsou </w:t>
      </w:r>
      <w:r>
        <w:rPr>
          <w:i/>
          <w:iCs/>
        </w:rPr>
        <w:t xml:space="preserve">ani z hlediska ochrany investorů </w:t>
      </w:r>
      <w:r w:rsidRPr="00304383">
        <w:rPr>
          <w:i/>
          <w:iCs/>
        </w:rPr>
        <w:t>dokonalé. Přesto za desítky let vývoje vznikl rozsáhlý systém pravidel, dozoru a ochrany investorů, který má omezovat podvody, manipulace a zneužívání informací. Akcie, dluhopisy, fondy, komoditní či finanční deriváty obchodované na regulovaných trzích podléhají jasně definovaným pravidlům a dohledu příslušných orgánů.</w:t>
      </w:r>
      <w:r w:rsidRPr="0032614F">
        <w:rPr>
          <w:i/>
          <w:iCs/>
        </w:rPr>
        <w:t xml:space="preserve"> </w:t>
      </w:r>
      <w:r w:rsidRPr="00304383">
        <w:rPr>
          <w:i/>
          <w:iCs/>
        </w:rPr>
        <w:t>Vedle těchto tradičních instrumentů se v posledních letech objevily také takzvané predikční trhy, na nichž účastníci spekulují na výsledky budoucích událostí. Ačkoliv bývají někdy prezentovány jako inovativní forma „investování“, jejich fungování, ekonomická podstata i úroveň regulatorní ochrany se od standardních investičních trhů zásadně liší.</w:t>
      </w:r>
    </w:p>
    <w:p w14:paraId="31997AB5" w14:textId="77777777" w:rsidR="00D35E59" w:rsidRDefault="00D35E59" w:rsidP="00D35E59">
      <w:pPr>
        <w:pStyle w:val="menuitem"/>
        <w:spacing w:before="0" w:beforeAutospacing="0" w:after="0" w:afterAutospacing="0"/>
        <w:rPr>
          <w:b/>
          <w:bCs/>
        </w:rPr>
      </w:pPr>
    </w:p>
    <w:p w14:paraId="68053197" w14:textId="77777777" w:rsidR="00D35E59" w:rsidRDefault="00D35E59" w:rsidP="00D35E59">
      <w:pPr>
        <w:pStyle w:val="menuitem"/>
        <w:spacing w:before="0" w:beforeAutospacing="0" w:after="0" w:afterAutospacing="0"/>
        <w:rPr>
          <w:b/>
          <w:bCs/>
        </w:rPr>
      </w:pPr>
      <w:r w:rsidRPr="00304383">
        <w:rPr>
          <w:b/>
          <w:bCs/>
        </w:rPr>
        <w:t>Regulace a vymahatelnost práv</w:t>
      </w:r>
    </w:p>
    <w:p w14:paraId="2A4C64C5" w14:textId="77777777" w:rsidR="00D35E59" w:rsidRPr="00304383" w:rsidRDefault="00D35E59" w:rsidP="00D35E59">
      <w:pPr>
        <w:pStyle w:val="menuitem"/>
        <w:spacing w:before="0" w:beforeAutospacing="0" w:after="0" w:afterAutospacing="0"/>
        <w:rPr>
          <w:b/>
          <w:bCs/>
        </w:rPr>
      </w:pPr>
    </w:p>
    <w:p w14:paraId="4FC29728" w14:textId="77777777" w:rsidR="00D35E59" w:rsidRDefault="00D35E59" w:rsidP="00D35E59">
      <w:pPr>
        <w:pStyle w:val="menuitem"/>
        <w:spacing w:before="0" w:beforeAutospacing="0" w:after="0" w:afterAutospacing="0"/>
      </w:pPr>
      <w:r w:rsidRPr="00304383">
        <w:t>Regulované kapitálové trhy fungují v prostředí jasně definované legislativy a</w:t>
      </w:r>
      <w:r>
        <w:t xml:space="preserve"> </w:t>
      </w:r>
      <w:r w:rsidRPr="00304383">
        <w:t>institucionálního dohledu.</w:t>
      </w:r>
      <w:r>
        <w:t xml:space="preserve"> </w:t>
      </w:r>
      <w:r w:rsidRPr="00304383">
        <w:t>V České republice vykonává dohled nad kapitálovým trhem Česká národní banka. Ve Spojených státech tuto roli plní</w:t>
      </w:r>
      <w:r>
        <w:t xml:space="preserve"> </w:t>
      </w:r>
      <w:r w:rsidRPr="00304383">
        <w:t xml:space="preserve">podle typu instrumentu například </w:t>
      </w:r>
      <w:r w:rsidRPr="0032614F">
        <w:t>Komise pro cenné papíry a burzy (</w:t>
      </w:r>
      <w:proofErr w:type="spellStart"/>
      <w:r w:rsidRPr="0032614F">
        <w:rPr>
          <w:i/>
          <w:iCs/>
        </w:rPr>
        <w:t>Securities</w:t>
      </w:r>
      <w:proofErr w:type="spellEnd"/>
      <w:r w:rsidRPr="0032614F">
        <w:rPr>
          <w:i/>
          <w:iCs/>
        </w:rPr>
        <w:t xml:space="preserve"> and Exchange </w:t>
      </w:r>
      <w:proofErr w:type="spellStart"/>
      <w:r w:rsidRPr="0032614F">
        <w:rPr>
          <w:i/>
          <w:iCs/>
        </w:rPr>
        <w:t>Commission</w:t>
      </w:r>
      <w:proofErr w:type="spellEnd"/>
      <w:r w:rsidRPr="0032614F">
        <w:t xml:space="preserve">, </w:t>
      </w:r>
      <w:r w:rsidRPr="00304383">
        <w:t>SEC</w:t>
      </w:r>
      <w:r>
        <w:t>)</w:t>
      </w:r>
      <w:r w:rsidRPr="00304383">
        <w:t xml:space="preserve"> nebo </w:t>
      </w:r>
      <w:r w:rsidRPr="0032614F">
        <w:t>Komise pro obchodování s komoditními termínovými kontakty</w:t>
      </w:r>
      <w:r>
        <w:t xml:space="preserve"> </w:t>
      </w:r>
      <w:r w:rsidRPr="0032614F">
        <w:t>(</w:t>
      </w:r>
      <w:proofErr w:type="spellStart"/>
      <w:r w:rsidRPr="0032614F">
        <w:rPr>
          <w:i/>
          <w:iCs/>
        </w:rPr>
        <w:t>Commodity</w:t>
      </w:r>
      <w:proofErr w:type="spellEnd"/>
      <w:r w:rsidRPr="0032614F">
        <w:rPr>
          <w:i/>
          <w:iCs/>
        </w:rPr>
        <w:t xml:space="preserve"> Futures </w:t>
      </w:r>
      <w:proofErr w:type="spellStart"/>
      <w:r w:rsidRPr="0032614F">
        <w:rPr>
          <w:i/>
          <w:iCs/>
        </w:rPr>
        <w:t>Trading</w:t>
      </w:r>
      <w:proofErr w:type="spellEnd"/>
      <w:r w:rsidRPr="0032614F">
        <w:rPr>
          <w:i/>
          <w:iCs/>
        </w:rPr>
        <w:t xml:space="preserve"> </w:t>
      </w:r>
      <w:proofErr w:type="spellStart"/>
      <w:r w:rsidRPr="0032614F">
        <w:rPr>
          <w:i/>
          <w:iCs/>
        </w:rPr>
        <w:t>Commission</w:t>
      </w:r>
      <w:proofErr w:type="spellEnd"/>
      <w:r>
        <w:rPr>
          <w:i/>
          <w:iCs/>
        </w:rPr>
        <w:t xml:space="preserve">, </w:t>
      </w:r>
      <w:r w:rsidRPr="00304383">
        <w:t>CFTC</w:t>
      </w:r>
      <w:r>
        <w:t>)</w:t>
      </w:r>
      <w:r w:rsidRPr="00304383">
        <w:t>. Burzy, obchodníci s cennými papíry, správci fondů i emitenti podléhají licenčním a informačním povinnostem.</w:t>
      </w:r>
    </w:p>
    <w:p w14:paraId="772DBF35" w14:textId="77777777" w:rsidR="00D35E59" w:rsidRPr="00304383" w:rsidRDefault="00D35E59" w:rsidP="00D35E59">
      <w:pPr>
        <w:pStyle w:val="menuitem"/>
        <w:spacing w:before="0" w:beforeAutospacing="0" w:after="0" w:afterAutospacing="0"/>
      </w:pPr>
    </w:p>
    <w:p w14:paraId="310D40C0" w14:textId="77777777" w:rsidR="00D35E59" w:rsidRDefault="00D35E59" w:rsidP="00D35E59">
      <w:pPr>
        <w:pStyle w:val="menuitem"/>
        <w:spacing w:before="0" w:beforeAutospacing="0" w:after="0" w:afterAutospacing="0"/>
      </w:pPr>
      <w:r w:rsidRPr="00304383">
        <w:t>Pokud dojde k porušení pravidel, existují mechanismy dozoru, sankcí i soudní ochrany.</w:t>
      </w:r>
      <w:r>
        <w:t xml:space="preserve"> </w:t>
      </w:r>
      <w:r w:rsidRPr="00304383">
        <w:t xml:space="preserve">Oproti tomu predikční platformy operující na </w:t>
      </w:r>
      <w:proofErr w:type="spellStart"/>
      <w:r w:rsidRPr="00304383">
        <w:t>blockchainových</w:t>
      </w:r>
      <w:proofErr w:type="spellEnd"/>
      <w:r w:rsidRPr="00304383">
        <w:t xml:space="preserve"> technologiích často působí v regulatorně nejednoznačném prostředí. V červenci 2026 byl</w:t>
      </w:r>
      <w:r>
        <w:t>a</w:t>
      </w:r>
      <w:r w:rsidRPr="00304383">
        <w:t xml:space="preserve"> například </w:t>
      </w:r>
      <w:r>
        <w:t xml:space="preserve">platforma </w:t>
      </w:r>
      <w:proofErr w:type="spellStart"/>
      <w:r w:rsidRPr="00304383">
        <w:t>Polymarket</w:t>
      </w:r>
      <w:proofErr w:type="spellEnd"/>
      <w:r w:rsidRPr="00304383">
        <w:t xml:space="preserve"> zařazeno českým Ministerstvem financí na seznam nepovolených internetových her, což vedlo k je</w:t>
      </w:r>
      <w:r>
        <w:t>jí</w:t>
      </w:r>
      <w:r w:rsidRPr="00304383">
        <w:t xml:space="preserve"> blokaci pro uživatele z České republiky.</w:t>
      </w:r>
      <w:r>
        <w:rPr>
          <w:rStyle w:val="Znakapoznpodarou"/>
        </w:rPr>
        <w:footnoteReference w:id="1"/>
      </w:r>
      <w:r w:rsidRPr="00304383">
        <w:t xml:space="preserve"> </w:t>
      </w:r>
    </w:p>
    <w:p w14:paraId="6479E030" w14:textId="77777777" w:rsidR="00D35E59" w:rsidRPr="00304383" w:rsidRDefault="00D35E59" w:rsidP="00D35E59">
      <w:pPr>
        <w:pStyle w:val="menuitem"/>
        <w:spacing w:before="0" w:beforeAutospacing="0" w:after="0" w:afterAutospacing="0"/>
      </w:pPr>
    </w:p>
    <w:p w14:paraId="329A747E" w14:textId="77777777" w:rsidR="00D35E59" w:rsidRPr="00304383" w:rsidRDefault="00D35E59" w:rsidP="00D35E59">
      <w:pPr>
        <w:pStyle w:val="menuitem"/>
        <w:spacing w:before="0" w:beforeAutospacing="0" w:after="0" w:afterAutospacing="0"/>
      </w:pPr>
      <w:r w:rsidRPr="00304383">
        <w:t>Pro investora je přitom zásadní otázka jednoduchá: komu se může dovolat ochrany svých práv, pokud nastane problém?</w:t>
      </w:r>
    </w:p>
    <w:p w14:paraId="6A73E48E" w14:textId="77777777" w:rsidR="00D35E59" w:rsidRDefault="00D35E59" w:rsidP="00D35E59">
      <w:pPr>
        <w:pStyle w:val="menuitem"/>
        <w:spacing w:before="0" w:beforeAutospacing="0" w:after="0" w:afterAutospacing="0"/>
        <w:rPr>
          <w:b/>
          <w:bCs/>
        </w:rPr>
      </w:pPr>
    </w:p>
    <w:p w14:paraId="7B14132B" w14:textId="77777777" w:rsidR="00D35E59" w:rsidRPr="00304383" w:rsidRDefault="00D35E59" w:rsidP="00D35E59">
      <w:pPr>
        <w:pStyle w:val="menuitem"/>
        <w:spacing w:before="0" w:beforeAutospacing="0" w:after="0" w:afterAutospacing="0"/>
        <w:rPr>
          <w:b/>
          <w:bCs/>
        </w:rPr>
      </w:pPr>
      <w:r w:rsidRPr="00304383">
        <w:rPr>
          <w:b/>
          <w:bCs/>
        </w:rPr>
        <w:t>Ochrana proti zneužití neveřejných informací</w:t>
      </w:r>
    </w:p>
    <w:p w14:paraId="4C3054ED" w14:textId="77777777" w:rsidR="00D35E59" w:rsidRPr="00304383" w:rsidRDefault="00D35E59" w:rsidP="00D35E59">
      <w:pPr>
        <w:pStyle w:val="menuitem"/>
        <w:spacing w:before="0" w:beforeAutospacing="0" w:after="0" w:afterAutospacing="0"/>
      </w:pPr>
      <w:r w:rsidRPr="00304383">
        <w:t>Jedním ze základních pilířů moderních kapitálových trhů je zákaz</w:t>
      </w:r>
      <w:r>
        <w:t xml:space="preserve"> zneužití neveřejných vnitřních informací, tzv.</w:t>
      </w:r>
      <w:r w:rsidRPr="00304383">
        <w:t xml:space="preserve"> </w:t>
      </w:r>
      <w:proofErr w:type="spellStart"/>
      <w:r w:rsidRPr="00304383">
        <w:t>insider</w:t>
      </w:r>
      <w:proofErr w:type="spellEnd"/>
      <w:r w:rsidRPr="00304383">
        <w:t xml:space="preserve"> </w:t>
      </w:r>
      <w:proofErr w:type="spellStart"/>
      <w:r w:rsidRPr="00304383">
        <w:t>trading</w:t>
      </w:r>
      <w:proofErr w:type="spellEnd"/>
      <w:r w:rsidRPr="00304383">
        <w:t>.</w:t>
      </w:r>
      <w:r>
        <w:t xml:space="preserve"> </w:t>
      </w:r>
      <w:r w:rsidRPr="00304383">
        <w:t>Po desetiletí vznikaly právní předpisy, dohledové mechanismy i analytické nástroje, které mají bránit tomu, aby někdo systematicky profitoval z neveřejných informací na úkor ostatních investorů.</w:t>
      </w:r>
      <w:r>
        <w:t xml:space="preserve"> </w:t>
      </w:r>
      <w:r w:rsidRPr="00304383">
        <w:t>Dokonalá ochrana neexistuje, ale existuje alespoň rozsáhlý aparát detekce, vyšetřování a sankcionování.</w:t>
      </w:r>
    </w:p>
    <w:p w14:paraId="7536EF1F" w14:textId="77777777" w:rsidR="00D35E59" w:rsidRPr="00304383" w:rsidRDefault="00D35E59" w:rsidP="00D35E59">
      <w:pPr>
        <w:pStyle w:val="menuitem"/>
        <w:spacing w:before="0" w:beforeAutospacing="0" w:after="0" w:afterAutospacing="0"/>
      </w:pPr>
      <w:r w:rsidRPr="00CB0BDD">
        <w:t xml:space="preserve">Ani predikční trhy nejsou pro </w:t>
      </w:r>
      <w:proofErr w:type="spellStart"/>
      <w:r w:rsidRPr="00CB0BDD">
        <w:t>insider</w:t>
      </w:r>
      <w:proofErr w:type="spellEnd"/>
      <w:r w:rsidRPr="00CB0BDD">
        <w:t xml:space="preserve"> </w:t>
      </w:r>
      <w:proofErr w:type="spellStart"/>
      <w:r w:rsidRPr="00CB0BDD">
        <w:t>trading</w:t>
      </w:r>
      <w:proofErr w:type="spellEnd"/>
      <w:r w:rsidRPr="00CB0BDD">
        <w:t xml:space="preserve"> ‚bezpečnou zónou‘, jak ukázaly americké regulační</w:t>
      </w:r>
      <w:r>
        <w:t xml:space="preserve"> a trestněprávní orgány</w:t>
      </w:r>
      <w:r w:rsidRPr="00CB0BDD">
        <w:t>, které v roce 2026 začaly postihovat obchodování na základě neveřejných informací u predikčních kontraktů.</w:t>
      </w:r>
      <w:r>
        <w:rPr>
          <w:rStyle w:val="Znakapoznpodarou"/>
        </w:rPr>
        <w:footnoteReference w:id="2"/>
      </w:r>
      <w:r>
        <w:t xml:space="preserve"> </w:t>
      </w:r>
      <w:r w:rsidRPr="00304383">
        <w:t xml:space="preserve">Problémem však zůstává </w:t>
      </w:r>
      <w:r>
        <w:t xml:space="preserve">možnost kontroly a </w:t>
      </w:r>
      <w:r w:rsidRPr="00304383">
        <w:lastRenderedPageBreak/>
        <w:t>praktická vymahatelnost</w:t>
      </w:r>
      <w:r>
        <w:t xml:space="preserve"> zásahu regulátora</w:t>
      </w:r>
      <w:r w:rsidRPr="00304383">
        <w:t>. Pokud jsou transakce realizovány prostřednictvím kryptoměnových peněženek a přeshraničních struktur, může být identifikace skutečných aktérů výrazně obtížnější než na tradičních regulovaných trzích.</w:t>
      </w:r>
      <w:r>
        <w:t xml:space="preserve"> </w:t>
      </w:r>
      <w:r w:rsidRPr="00304383">
        <w:t xml:space="preserve">Drobní účastníci se tak mohou snadněji ocitnout v situaci, kdy fakticky </w:t>
      </w:r>
      <w:r>
        <w:t>působí na trhu</w:t>
      </w:r>
      <w:r w:rsidRPr="00304383">
        <w:t xml:space="preserve"> proti osobám disponujícím lepšími informacemi.</w:t>
      </w:r>
    </w:p>
    <w:p w14:paraId="57806F19" w14:textId="77777777" w:rsidR="00D35E59" w:rsidRDefault="00D35E59" w:rsidP="00D35E59">
      <w:pPr>
        <w:pStyle w:val="menuitem"/>
        <w:spacing w:before="0" w:beforeAutospacing="0" w:after="0" w:afterAutospacing="0"/>
        <w:rPr>
          <w:b/>
          <w:bCs/>
        </w:rPr>
      </w:pPr>
    </w:p>
    <w:p w14:paraId="7532EF11" w14:textId="77777777" w:rsidR="00D35E59" w:rsidRPr="00304383" w:rsidRDefault="00D35E59" w:rsidP="00D35E59">
      <w:pPr>
        <w:pStyle w:val="menuitem"/>
        <w:spacing w:before="0" w:beforeAutospacing="0" w:after="0" w:afterAutospacing="0"/>
        <w:rPr>
          <w:b/>
          <w:bCs/>
        </w:rPr>
      </w:pPr>
      <w:r w:rsidRPr="00304383">
        <w:rPr>
          <w:b/>
          <w:bCs/>
        </w:rPr>
        <w:t>Fundamentální hodnota versus sázení na výsledek události</w:t>
      </w:r>
    </w:p>
    <w:p w14:paraId="3E0A48FA" w14:textId="77777777" w:rsidR="00D35E59" w:rsidRDefault="00D35E59" w:rsidP="00D35E59">
      <w:pPr>
        <w:pStyle w:val="menuitem"/>
        <w:spacing w:before="0" w:beforeAutospacing="0" w:after="0" w:afterAutospacing="0"/>
      </w:pPr>
    </w:p>
    <w:p w14:paraId="2B9E6495" w14:textId="77777777" w:rsidR="00D35E59" w:rsidRPr="00304383" w:rsidRDefault="00D35E59" w:rsidP="00D35E59">
      <w:pPr>
        <w:pStyle w:val="menuitem"/>
        <w:spacing w:before="0" w:beforeAutospacing="0" w:after="0" w:afterAutospacing="0"/>
      </w:pPr>
      <w:r w:rsidRPr="00304383">
        <w:t>Nejzásadnější rozdíl však spočívá v samotné ekonomické podstatě.</w:t>
      </w:r>
      <w:r>
        <w:t xml:space="preserve"> </w:t>
      </w:r>
      <w:r w:rsidRPr="00304383">
        <w:t>Akcie představuje vlastnický podíl ve společnosti.</w:t>
      </w:r>
      <w:r>
        <w:t xml:space="preserve"> </w:t>
      </w:r>
      <w:r w:rsidRPr="00304383">
        <w:t>Dluhopis představuje pohledávku vůči emitentovi.</w:t>
      </w:r>
      <w:r>
        <w:t xml:space="preserve"> Také k</w:t>
      </w:r>
      <w:r w:rsidRPr="00304383">
        <w:t>omoditní či finanční deriváty jsou odvozeny od podkladových akti</w:t>
      </w:r>
      <w:r>
        <w:t>v a mohou být důležitým nástrojem zajištění při různých obchodních a finančních transakcích</w:t>
      </w:r>
      <w:r w:rsidRPr="00304383">
        <w:t>.</w:t>
      </w:r>
      <w:r>
        <w:t xml:space="preserve"> </w:t>
      </w:r>
      <w:r w:rsidRPr="00304383">
        <w:t>Investor může analyzovat</w:t>
      </w:r>
      <w:r>
        <w:t xml:space="preserve"> </w:t>
      </w:r>
      <w:r w:rsidRPr="00304383">
        <w:t>hospodářské výsledky,</w:t>
      </w:r>
      <w:r>
        <w:t xml:space="preserve"> </w:t>
      </w:r>
      <w:r w:rsidRPr="00304383">
        <w:t xml:space="preserve">cash </w:t>
      </w:r>
      <w:proofErr w:type="spellStart"/>
      <w:r w:rsidRPr="00304383">
        <w:t>flow</w:t>
      </w:r>
      <w:proofErr w:type="spellEnd"/>
      <w:r w:rsidRPr="00304383">
        <w:t>,</w:t>
      </w:r>
      <w:r>
        <w:t xml:space="preserve"> míru </w:t>
      </w:r>
      <w:r w:rsidRPr="00304383">
        <w:t>zadlužení,</w:t>
      </w:r>
      <w:r>
        <w:t xml:space="preserve"> </w:t>
      </w:r>
      <w:r w:rsidRPr="00304383">
        <w:t>konkurenční pozici</w:t>
      </w:r>
      <w:r>
        <w:t xml:space="preserve"> na trhu</w:t>
      </w:r>
      <w:r w:rsidRPr="00304383">
        <w:t>,</w:t>
      </w:r>
      <w:r>
        <w:t xml:space="preserve"> </w:t>
      </w:r>
      <w:r w:rsidRPr="00304383">
        <w:t>odvětvové trendy</w:t>
      </w:r>
      <w:r>
        <w:t xml:space="preserve"> či </w:t>
      </w:r>
      <w:r w:rsidRPr="00304383">
        <w:t>makroekonomické ukazatele.</w:t>
      </w:r>
      <w:r>
        <w:t xml:space="preserve"> </w:t>
      </w:r>
      <w:r w:rsidRPr="00304383">
        <w:t xml:space="preserve">Existuje rozsáhlý </w:t>
      </w:r>
      <w:r>
        <w:t xml:space="preserve">zavedený </w:t>
      </w:r>
      <w:r w:rsidRPr="00304383">
        <w:t>analytický aparát, který umožňuje odhadovat hodnotu investice a porovnávat riziko a výnos.</w:t>
      </w:r>
    </w:p>
    <w:p w14:paraId="76855FB9" w14:textId="77777777" w:rsidR="00D35E59" w:rsidRPr="00304383" w:rsidRDefault="00D35E59" w:rsidP="00D35E59">
      <w:pPr>
        <w:pStyle w:val="menuitem"/>
        <w:spacing w:before="0" w:beforeAutospacing="0" w:after="0" w:afterAutospacing="0"/>
      </w:pPr>
      <w:r w:rsidRPr="00304383">
        <w:t>Predikční kontrakty naproti tomu zpravidla nepředstavují vlastnictví žádného aktiva ani nárok na budoucí ekonomický výnos. Jejich hodnota je odvozena pouze od toho, zda určitá událost nastane nebo nenastane.</w:t>
      </w:r>
    </w:p>
    <w:p w14:paraId="75B633DD" w14:textId="77777777" w:rsidR="00D35E59" w:rsidRPr="00304383" w:rsidRDefault="00D35E59" w:rsidP="00D35E59">
      <w:pPr>
        <w:pStyle w:val="menuitem"/>
        <w:spacing w:before="0" w:beforeAutospacing="0" w:after="0" w:afterAutospacing="0"/>
      </w:pPr>
      <w:r w:rsidRPr="00304383">
        <w:t>Nevzniká zde nový ekonomický výstup, zisk společnosti ani produktivní činnost. Výsledkem je prostředí blízké hře s nulovým součtem, kde zisk jedné strany odpovídá ztrátě druhé.</w:t>
      </w:r>
    </w:p>
    <w:p w14:paraId="69F0A8A2" w14:textId="77777777" w:rsidR="00D35E59" w:rsidRDefault="00D35E59" w:rsidP="00D35E59">
      <w:pPr>
        <w:pStyle w:val="menuitem"/>
        <w:spacing w:before="0" w:beforeAutospacing="0" w:after="0" w:afterAutospacing="0"/>
        <w:rPr>
          <w:b/>
          <w:bCs/>
        </w:rPr>
      </w:pPr>
    </w:p>
    <w:p w14:paraId="508238B9" w14:textId="77777777" w:rsidR="00D35E59" w:rsidRPr="00304383" w:rsidRDefault="00D35E59" w:rsidP="00D35E59">
      <w:pPr>
        <w:pStyle w:val="menuitem"/>
        <w:spacing w:before="0" w:beforeAutospacing="0" w:after="0" w:afterAutospacing="0"/>
        <w:rPr>
          <w:b/>
          <w:bCs/>
        </w:rPr>
      </w:pPr>
      <w:r w:rsidRPr="00304383">
        <w:rPr>
          <w:b/>
          <w:bCs/>
        </w:rPr>
        <w:t>Investování a spekulace nejsou totéž</w:t>
      </w:r>
    </w:p>
    <w:p w14:paraId="2EC7044C" w14:textId="77777777" w:rsidR="00D35E59" w:rsidRPr="00304383" w:rsidRDefault="00D35E59" w:rsidP="00D35E59">
      <w:pPr>
        <w:pStyle w:val="menuitem"/>
        <w:spacing w:before="0" w:beforeAutospacing="0" w:after="0" w:afterAutospacing="0"/>
      </w:pPr>
      <w:r w:rsidRPr="00304383">
        <w:t>Každý finanční trh obsahuje určitou míru spekulace.</w:t>
      </w:r>
      <w:r>
        <w:t xml:space="preserve"> </w:t>
      </w:r>
      <w:r w:rsidRPr="00304383">
        <w:t>Rozdíl však spočívá v tom, že dlouhodobý investor na kapitálovém trhu participuje na tvorbě hodnoty v ekonomice. Firmy vyrábějí produkty, poskytují služby, inovují a vytvářejí zisky. Investor se na tomto procesu podílí prostřednictvím vlastnictví či financování.</w:t>
      </w:r>
      <w:r>
        <w:t xml:space="preserve"> </w:t>
      </w:r>
      <w:r w:rsidRPr="00304383">
        <w:t>Na predikčních trzích žádná obdobná vazba na tvorbu ekonomické hodnoty zpravidla neexistuje.</w:t>
      </w:r>
      <w:r>
        <w:rPr>
          <w:rStyle w:val="Znakapoznpodarou"/>
        </w:rPr>
        <w:footnoteReference w:id="3"/>
      </w:r>
      <w:r w:rsidRPr="00304383">
        <w:t xml:space="preserve"> Účastník pouze zaujímá pozici vůči budoucímu výsledku určité události.</w:t>
      </w:r>
      <w:r>
        <w:t xml:space="preserve"> </w:t>
      </w:r>
      <w:r w:rsidRPr="00304383">
        <w:t>Proto není vhodné tyto dva světy zaměňovat, přestože oba používají některé podobné pojmy, jako jsou kontrakty, tržní ceny nebo obchodování.</w:t>
      </w:r>
    </w:p>
    <w:p w14:paraId="23FCB173" w14:textId="77777777" w:rsidR="00D35E59" w:rsidRDefault="00D35E59" w:rsidP="00D35E59">
      <w:pPr>
        <w:pStyle w:val="menuitem"/>
        <w:spacing w:before="0" w:beforeAutospacing="0" w:after="0" w:afterAutospacing="0"/>
        <w:rPr>
          <w:b/>
          <w:bCs/>
        </w:rPr>
      </w:pPr>
    </w:p>
    <w:p w14:paraId="30305A73" w14:textId="77777777" w:rsidR="00D35E59" w:rsidRPr="00304383" w:rsidRDefault="00D35E59" w:rsidP="00D35E59">
      <w:pPr>
        <w:pStyle w:val="menuitem"/>
        <w:spacing w:before="0" w:beforeAutospacing="0" w:after="0" w:afterAutospacing="0"/>
        <w:rPr>
          <w:b/>
          <w:bCs/>
        </w:rPr>
      </w:pPr>
      <w:r w:rsidRPr="00304383">
        <w:rPr>
          <w:b/>
          <w:bCs/>
        </w:rPr>
        <w:t>Závěr</w:t>
      </w:r>
    </w:p>
    <w:p w14:paraId="4A0AC72B" w14:textId="77777777" w:rsidR="00D35E59" w:rsidRPr="00304383" w:rsidRDefault="00D35E59" w:rsidP="00D35E59">
      <w:pPr>
        <w:pStyle w:val="menuitem"/>
        <w:spacing w:before="0" w:beforeAutospacing="0" w:after="0" w:afterAutospacing="0"/>
      </w:pPr>
      <w:r w:rsidRPr="00304383">
        <w:t>Predikční trhy představují zajímavý technologický a společenský fenomén. Neměly by však být zaměňovány s investováním na regulovaných kapitálových trzích.</w:t>
      </w:r>
      <w:r>
        <w:t xml:space="preserve"> </w:t>
      </w:r>
      <w:r w:rsidRPr="00304383">
        <w:t>Tradiční investiční instrumenty stojí na desetiletích budovaném systému regulace, ochrany investorů, informačních povinností a ekonomických fundamentů. Predikční trhy naproti tomu pracují především se sázením na budoucí události, často v prostředí s výrazně nižší právní jistotou a obtížnější vymahatelností pravidel.</w:t>
      </w:r>
    </w:p>
    <w:p w14:paraId="1A878AD9" w14:textId="77777777" w:rsidR="00D35E59" w:rsidRPr="00304383" w:rsidRDefault="00D35E59" w:rsidP="00D35E59">
      <w:pPr>
        <w:pStyle w:val="menuitem"/>
        <w:spacing w:before="0" w:beforeAutospacing="0" w:after="0" w:afterAutospacing="0"/>
      </w:pPr>
      <w:r w:rsidRPr="00304383">
        <w:lastRenderedPageBreak/>
        <w:t>Pro investora proto není klíčová pouze možnost dosáhnout výnosu, ale také otázka, zda se pohybuje v prostředí, kde existují jasná pravidla, dohled a skutečný ekonomický základ investice.</w:t>
      </w:r>
    </w:p>
    <w:p w14:paraId="5CE67295" w14:textId="77777777" w:rsidR="00D35E59" w:rsidRPr="004E0A60" w:rsidRDefault="00D35E59" w:rsidP="00D35E59">
      <w:pPr>
        <w:spacing w:after="0" w:line="240" w:lineRule="auto"/>
        <w:rPr>
          <w:rFonts w:ascii="&amp;quot" w:eastAsia="Times New Roman" w:hAnsi="&amp;quot" w:cs="Helvetica"/>
          <w:color w:val="000000"/>
          <w:shd w:val="clear" w:color="auto" w:fill="FFFFFF"/>
          <w:lang w:eastAsia="cs-CZ"/>
        </w:rPr>
      </w:pPr>
    </w:p>
    <w:p w14:paraId="0FC6B079" w14:textId="77777777" w:rsidR="00D35E59" w:rsidRPr="004E0A60" w:rsidRDefault="00D35E59" w:rsidP="00D35E59">
      <w:pPr>
        <w:rPr>
          <w:b/>
          <w:bCs/>
        </w:rPr>
      </w:pPr>
      <w:r w:rsidRPr="004E0A60">
        <w:rPr>
          <w:b/>
          <w:bCs/>
        </w:rPr>
        <w:t xml:space="preserve">Posláním </w:t>
      </w:r>
      <w:hyperlink r:id="rId7" w:history="1">
        <w:r w:rsidRPr="004E0A60">
          <w:rPr>
            <w:rStyle w:val="Hypertextovodkaz"/>
            <w:b/>
            <w:bCs/>
          </w:rPr>
          <w:t>Ambasadora investorů</w:t>
        </w:r>
      </w:hyperlink>
      <w:r w:rsidRPr="004E0A60">
        <w:rPr>
          <w:b/>
          <w:bCs/>
        </w:rPr>
        <w:t>, na jehož činnosti se podílí Spotřebitelské fórum se Sdružením českých spotřebitelů, je naslouchat retailovým obchodníkům na kapitálových trzích, kteří mají připomínky ke svému brokerovi, resp. poskytovateli obchodní platformy. Domníváte se, že vaše potíže nebyly nebo nemohou být přímým jednáním vyřešeny? Ambasador investorů vám může pomoci zprostředkovat řešení a odpovědět na vaše základní dotazy i případné stížnosti.</w:t>
      </w:r>
    </w:p>
    <w:p w14:paraId="546CCC7A" w14:textId="77777777" w:rsidR="00D35E59" w:rsidRPr="004E0A60" w:rsidRDefault="00D35E59" w:rsidP="00D35E59">
      <w:pPr>
        <w:rPr>
          <w:i/>
          <w:iCs/>
        </w:rPr>
      </w:pPr>
    </w:p>
    <w:p w14:paraId="6CED38D6" w14:textId="77777777" w:rsidR="00D35E59" w:rsidRPr="004E0A60" w:rsidRDefault="00D35E59" w:rsidP="00D35E59">
      <w:pPr>
        <w:rPr>
          <w:i/>
          <w:iCs/>
        </w:rPr>
      </w:pPr>
      <w:r w:rsidRPr="004E0A60">
        <w:rPr>
          <w:i/>
          <w:iCs/>
        </w:rPr>
        <w:t>Kontakt:</w:t>
      </w:r>
    </w:p>
    <w:p w14:paraId="63AA65BF" w14:textId="77777777" w:rsidR="00D35E59" w:rsidRPr="004E0A60" w:rsidRDefault="00D35E59" w:rsidP="00D35E59">
      <w:hyperlink r:id="rId8" w:history="1">
        <w:r w:rsidRPr="004E0A60">
          <w:rPr>
            <w:rStyle w:val="Hypertextovodkaz"/>
          </w:rPr>
          <w:t>info@ambasadorinvestoru.cz</w:t>
        </w:r>
      </w:hyperlink>
    </w:p>
    <w:p w14:paraId="1B0E41E8" w14:textId="77777777" w:rsidR="00D35E59" w:rsidRPr="004E0A60" w:rsidRDefault="00D35E59" w:rsidP="00D35E59">
      <w:r w:rsidRPr="004E0A60">
        <w:t>+420 261 263 574 (</w:t>
      </w:r>
      <w:proofErr w:type="gramStart"/>
      <w:r w:rsidRPr="004E0A60">
        <w:t>pondělí – pátek</w:t>
      </w:r>
      <w:proofErr w:type="gramEnd"/>
      <w:r w:rsidRPr="004E0A60">
        <w:t xml:space="preserve"> 9:00 – 12:00)</w:t>
      </w:r>
    </w:p>
    <w:p w14:paraId="0D031BE1" w14:textId="77777777" w:rsidR="00D35E59" w:rsidRDefault="00D35E59" w:rsidP="00D35E59">
      <w:r w:rsidRPr="004E0A60">
        <w:t>www.ambasadorinvestoru.cz</w:t>
      </w:r>
    </w:p>
    <w:p w14:paraId="6F6535B6" w14:textId="77777777" w:rsidR="00010C2A" w:rsidRDefault="00010C2A"/>
    <w:sectPr w:rsidR="00010C2A" w:rsidSect="00D35E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46D82" w14:textId="77777777" w:rsidR="00484C7A" w:rsidRDefault="00484C7A" w:rsidP="00D35E59">
      <w:pPr>
        <w:spacing w:after="0" w:line="240" w:lineRule="auto"/>
      </w:pPr>
      <w:r>
        <w:separator/>
      </w:r>
    </w:p>
  </w:endnote>
  <w:endnote w:type="continuationSeparator" w:id="0">
    <w:p w14:paraId="6B96B09D" w14:textId="77777777" w:rsidR="00484C7A" w:rsidRDefault="00484C7A" w:rsidP="00D35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mp;quo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BCC0EC" w14:textId="77777777" w:rsidR="00484C7A" w:rsidRDefault="00484C7A" w:rsidP="00D35E59">
      <w:pPr>
        <w:spacing w:after="0" w:line="240" w:lineRule="auto"/>
      </w:pPr>
      <w:r>
        <w:separator/>
      </w:r>
    </w:p>
  </w:footnote>
  <w:footnote w:type="continuationSeparator" w:id="0">
    <w:p w14:paraId="1319FBB5" w14:textId="77777777" w:rsidR="00484C7A" w:rsidRDefault="00484C7A" w:rsidP="00D35E59">
      <w:pPr>
        <w:spacing w:after="0" w:line="240" w:lineRule="auto"/>
      </w:pPr>
      <w:r>
        <w:continuationSeparator/>
      </w:r>
    </w:p>
  </w:footnote>
  <w:footnote w:id="1">
    <w:p w14:paraId="6CABF6A6" w14:textId="77777777" w:rsidR="00D35E59" w:rsidRDefault="00D35E59" w:rsidP="00D35E59">
      <w:pPr>
        <w:pStyle w:val="Textpoznpodarou"/>
      </w:pPr>
      <w:r>
        <w:rPr>
          <w:rStyle w:val="Znakapoznpodarou"/>
        </w:rPr>
        <w:footnoteRef/>
      </w:r>
      <w:r>
        <w:t xml:space="preserve"> Blíže srov. např. </w:t>
      </w:r>
      <w:r w:rsidRPr="0032614F">
        <w:t xml:space="preserve">PREUSS, Ondřej. </w:t>
      </w:r>
      <w:proofErr w:type="spellStart"/>
      <w:r w:rsidRPr="0032614F">
        <w:rPr>
          <w:i/>
          <w:iCs/>
        </w:rPr>
        <w:t>Polymarket</w:t>
      </w:r>
      <w:proofErr w:type="spellEnd"/>
      <w:r w:rsidRPr="0032614F">
        <w:rPr>
          <w:i/>
          <w:iCs/>
        </w:rPr>
        <w:t xml:space="preserve"> v Česku skončil na seznamu nepovolených her. Co zákaz znamená pro uživatele?</w:t>
      </w:r>
      <w:r w:rsidRPr="0032614F">
        <w:t xml:space="preserve"> Dostupný advokát [online]. 24. srpna 2026 [cit. 22. 10. 2026]. Dostupné z: </w:t>
      </w:r>
      <w:hyperlink r:id="rId1" w:history="1">
        <w:r w:rsidRPr="0012015C">
          <w:rPr>
            <w:rStyle w:val="Hypertextovodkaz"/>
          </w:rPr>
          <w:t>https://dostupnyadvokat.cz/blog/polymarket</w:t>
        </w:r>
      </w:hyperlink>
      <w:r>
        <w:t xml:space="preserve">. </w:t>
      </w:r>
    </w:p>
  </w:footnote>
  <w:footnote w:id="2">
    <w:p w14:paraId="684378B7" w14:textId="77777777" w:rsidR="00D35E59" w:rsidRDefault="00D35E59" w:rsidP="00D35E59">
      <w:pPr>
        <w:pStyle w:val="Textpoznpodarou"/>
      </w:pPr>
      <w:r>
        <w:rPr>
          <w:rStyle w:val="Znakapoznpodarou"/>
        </w:rPr>
        <w:footnoteRef/>
      </w:r>
      <w:r>
        <w:t xml:space="preserve"> </w:t>
      </w:r>
      <w:proofErr w:type="spellStart"/>
      <w:r w:rsidRPr="0032614F">
        <w:rPr>
          <w:i/>
          <w:iCs/>
        </w:rPr>
        <w:t>Polymarket</w:t>
      </w:r>
      <w:proofErr w:type="spellEnd"/>
      <w:r w:rsidRPr="0032614F">
        <w:rPr>
          <w:i/>
          <w:iCs/>
        </w:rPr>
        <w:t xml:space="preserve"> Insider </w:t>
      </w:r>
      <w:proofErr w:type="spellStart"/>
      <w:r w:rsidRPr="0032614F">
        <w:rPr>
          <w:i/>
          <w:iCs/>
        </w:rPr>
        <w:t>Trading</w:t>
      </w:r>
      <w:proofErr w:type="spellEnd"/>
      <w:r w:rsidRPr="0032614F">
        <w:rPr>
          <w:i/>
          <w:iCs/>
        </w:rPr>
        <w:t xml:space="preserve"> </w:t>
      </w:r>
      <w:proofErr w:type="spellStart"/>
      <w:r w:rsidRPr="0032614F">
        <w:rPr>
          <w:i/>
          <w:iCs/>
        </w:rPr>
        <w:t>Charges</w:t>
      </w:r>
      <w:proofErr w:type="spellEnd"/>
      <w:r w:rsidRPr="0032614F">
        <w:rPr>
          <w:i/>
          <w:iCs/>
        </w:rPr>
        <w:t xml:space="preserve"> </w:t>
      </w:r>
      <w:proofErr w:type="spellStart"/>
      <w:r w:rsidRPr="0032614F">
        <w:rPr>
          <w:i/>
          <w:iCs/>
        </w:rPr>
        <w:t>Illustrate</w:t>
      </w:r>
      <w:proofErr w:type="spellEnd"/>
      <w:r w:rsidRPr="0032614F">
        <w:rPr>
          <w:i/>
          <w:iCs/>
        </w:rPr>
        <w:t xml:space="preserve"> DOJ and CFTC </w:t>
      </w:r>
      <w:proofErr w:type="spellStart"/>
      <w:r w:rsidRPr="0032614F">
        <w:rPr>
          <w:i/>
          <w:iCs/>
        </w:rPr>
        <w:t>Prediction</w:t>
      </w:r>
      <w:proofErr w:type="spellEnd"/>
      <w:r w:rsidRPr="0032614F">
        <w:rPr>
          <w:i/>
          <w:iCs/>
        </w:rPr>
        <w:t xml:space="preserve"> </w:t>
      </w:r>
      <w:proofErr w:type="spellStart"/>
      <w:r w:rsidRPr="0032614F">
        <w:rPr>
          <w:i/>
          <w:iCs/>
        </w:rPr>
        <w:t>Markets</w:t>
      </w:r>
      <w:proofErr w:type="spellEnd"/>
      <w:r w:rsidRPr="0032614F">
        <w:rPr>
          <w:i/>
          <w:iCs/>
        </w:rPr>
        <w:t xml:space="preserve"> </w:t>
      </w:r>
      <w:proofErr w:type="spellStart"/>
      <w:r w:rsidRPr="0032614F">
        <w:rPr>
          <w:i/>
          <w:iCs/>
        </w:rPr>
        <w:t>Enforcement</w:t>
      </w:r>
      <w:proofErr w:type="spellEnd"/>
      <w:r w:rsidRPr="0032614F">
        <w:rPr>
          <w:i/>
          <w:iCs/>
        </w:rPr>
        <w:t xml:space="preserve"> </w:t>
      </w:r>
      <w:proofErr w:type="spellStart"/>
      <w:r w:rsidRPr="0032614F">
        <w:rPr>
          <w:i/>
          <w:iCs/>
        </w:rPr>
        <w:t>Strategy</w:t>
      </w:r>
      <w:proofErr w:type="spellEnd"/>
      <w:r w:rsidRPr="0032614F">
        <w:t xml:space="preserve">. </w:t>
      </w:r>
      <w:proofErr w:type="spellStart"/>
      <w:r w:rsidRPr="0032614F">
        <w:t>Debevoise</w:t>
      </w:r>
      <w:proofErr w:type="spellEnd"/>
      <w:r w:rsidRPr="0032614F">
        <w:t xml:space="preserve"> &amp; </w:t>
      </w:r>
      <w:proofErr w:type="spellStart"/>
      <w:r w:rsidRPr="0032614F">
        <w:t>Plimpton</w:t>
      </w:r>
      <w:proofErr w:type="spellEnd"/>
      <w:r w:rsidRPr="0032614F">
        <w:t xml:space="preserve"> LLP [online]. 27. dubna 2026 [cit. 22. 10. 2026]. Dostupné z: </w:t>
      </w:r>
      <w:hyperlink r:id="rId2" w:history="1">
        <w:r w:rsidRPr="0012015C">
          <w:rPr>
            <w:rStyle w:val="Hypertextovodkaz"/>
          </w:rPr>
          <w:t>https://www.debevoise.com/insights/publications/2026/04/polymarket-insider-trading-charges-illustrate-doj</w:t>
        </w:r>
      </w:hyperlink>
      <w:r>
        <w:t xml:space="preserve">. </w:t>
      </w:r>
    </w:p>
  </w:footnote>
  <w:footnote w:id="3">
    <w:p w14:paraId="7F7AFDDC" w14:textId="77777777" w:rsidR="00D35E59" w:rsidRDefault="00D35E59" w:rsidP="00D35E59">
      <w:pPr>
        <w:pStyle w:val="Textpoznpodarou"/>
      </w:pPr>
      <w:r>
        <w:rPr>
          <w:rStyle w:val="Znakapoznpodarou"/>
        </w:rPr>
        <w:footnoteRef/>
      </w:r>
      <w:r>
        <w:t xml:space="preserve"> </w:t>
      </w:r>
      <w:r w:rsidRPr="00486BB4">
        <w:t>V individuálních případech si lze představit, že predikční kontrakt může účastníkovi sloužit jako nástroj zajištění proti konkrétní události, například proti přijetí či zrušení regulace významné pro jeho podnikání. Na rozdíl od tradičních komoditních a finančních derivátů však takové využití zpravidla netvoří hlavní ekonomickou funkci trhu. Likvidita predikčních trhů je převážně vytvářena účastníky usilujícími o zisk z odhadu budoucího vývoje, nikoli subjekty, které si mezi sebou vzájemně přerozdělují již existující ekonomické riziko. Tradiční derivátové trhy jsou navíc navázány na podkladová aktiva a ekonomické činnosti, jako je výroba, obchod, financování či investování, což umožňuje jejich ocenění na základě pozorovatelných ekonomických veličin a vytváří vazbu na reálnou ekonomiku. U predikčních trhů je hodnota kontraktu odvozena primárně od pravděpodobnosti nastoupení určité události a od ochoty účastníků zaujmout opačné sázkové pozice.</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59"/>
    <w:rsid w:val="00010C2A"/>
    <w:rsid w:val="00052B87"/>
    <w:rsid w:val="00484C7A"/>
    <w:rsid w:val="00A2502C"/>
    <w:rsid w:val="00C47156"/>
    <w:rsid w:val="00D35E59"/>
    <w:rsid w:val="00F012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4C5F30C3"/>
  <w15:chartTrackingRefBased/>
  <w15:docId w15:val="{FD901E1E-A180-5246-A1CE-CCFEE6D4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35E59"/>
    <w:pPr>
      <w:spacing w:after="160" w:line="278" w:lineRule="auto"/>
    </w:pPr>
  </w:style>
  <w:style w:type="paragraph" w:styleId="Nadpis1">
    <w:name w:val="heading 1"/>
    <w:basedOn w:val="Normln"/>
    <w:next w:val="Normln"/>
    <w:link w:val="Nadpis1Char"/>
    <w:uiPriority w:val="9"/>
    <w:qFormat/>
    <w:rsid w:val="00D35E59"/>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35E59"/>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35E59"/>
    <w:pPr>
      <w:keepNext/>
      <w:keepLines/>
      <w:spacing w:before="160" w:after="80" w:line="240" w:lineRule="auto"/>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35E59"/>
    <w:pPr>
      <w:keepNext/>
      <w:keepLines/>
      <w:spacing w:before="80" w:after="40" w:line="240" w:lineRule="auto"/>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35E59"/>
    <w:pPr>
      <w:keepNext/>
      <w:keepLines/>
      <w:spacing w:before="80" w:after="40" w:line="240" w:lineRule="auto"/>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35E59"/>
    <w:pPr>
      <w:keepNext/>
      <w:keepLines/>
      <w:spacing w:before="40" w:after="0" w:line="240" w:lineRule="auto"/>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35E59"/>
    <w:pPr>
      <w:keepNext/>
      <w:keepLines/>
      <w:spacing w:before="40" w:after="0" w:line="240" w:lineRule="auto"/>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35E59"/>
    <w:pPr>
      <w:keepNext/>
      <w:keepLines/>
      <w:spacing w:after="0" w:line="240" w:lineRule="auto"/>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35E59"/>
    <w:pPr>
      <w:keepNext/>
      <w:keepLines/>
      <w:spacing w:after="0" w:line="240" w:lineRule="auto"/>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35E5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35E5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35E5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35E5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35E5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35E5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35E5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35E5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35E59"/>
    <w:rPr>
      <w:rFonts w:eastAsiaTheme="majorEastAsia" w:cstheme="majorBidi"/>
      <w:color w:val="272727" w:themeColor="text1" w:themeTint="D8"/>
    </w:rPr>
  </w:style>
  <w:style w:type="paragraph" w:styleId="Nzev">
    <w:name w:val="Title"/>
    <w:basedOn w:val="Normln"/>
    <w:next w:val="Normln"/>
    <w:link w:val="NzevChar"/>
    <w:uiPriority w:val="10"/>
    <w:qFormat/>
    <w:rsid w:val="00D35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35E5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35E59"/>
    <w:pPr>
      <w:numPr>
        <w:ilvl w:val="1"/>
      </w:numPr>
      <w:spacing w:line="240" w:lineRule="auto"/>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35E5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35E59"/>
    <w:pPr>
      <w:spacing w:before="160" w:line="240" w:lineRule="auto"/>
      <w:jc w:val="center"/>
    </w:pPr>
    <w:rPr>
      <w:i/>
      <w:iCs/>
      <w:color w:val="404040" w:themeColor="text1" w:themeTint="BF"/>
    </w:rPr>
  </w:style>
  <w:style w:type="character" w:customStyle="1" w:styleId="CittChar">
    <w:name w:val="Citát Char"/>
    <w:basedOn w:val="Standardnpsmoodstavce"/>
    <w:link w:val="Citt"/>
    <w:uiPriority w:val="29"/>
    <w:rsid w:val="00D35E59"/>
    <w:rPr>
      <w:i/>
      <w:iCs/>
      <w:color w:val="404040" w:themeColor="text1" w:themeTint="BF"/>
    </w:rPr>
  </w:style>
  <w:style w:type="paragraph" w:styleId="Odstavecseseznamem">
    <w:name w:val="List Paragraph"/>
    <w:basedOn w:val="Normln"/>
    <w:uiPriority w:val="34"/>
    <w:qFormat/>
    <w:rsid w:val="00D35E59"/>
    <w:pPr>
      <w:spacing w:after="0" w:line="240" w:lineRule="auto"/>
      <w:ind w:left="720"/>
      <w:contextualSpacing/>
    </w:pPr>
  </w:style>
  <w:style w:type="character" w:styleId="Zdraznnintenzivn">
    <w:name w:val="Intense Emphasis"/>
    <w:basedOn w:val="Standardnpsmoodstavce"/>
    <w:uiPriority w:val="21"/>
    <w:qFormat/>
    <w:rsid w:val="00D35E59"/>
    <w:rPr>
      <w:i/>
      <w:iCs/>
      <w:color w:val="0F4761" w:themeColor="accent1" w:themeShade="BF"/>
    </w:rPr>
  </w:style>
  <w:style w:type="paragraph" w:styleId="Vrazncitt">
    <w:name w:val="Intense Quote"/>
    <w:basedOn w:val="Normln"/>
    <w:next w:val="Normln"/>
    <w:link w:val="VrazncittChar"/>
    <w:uiPriority w:val="30"/>
    <w:qFormat/>
    <w:rsid w:val="00D35E59"/>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35E59"/>
    <w:rPr>
      <w:i/>
      <w:iCs/>
      <w:color w:val="0F4761" w:themeColor="accent1" w:themeShade="BF"/>
    </w:rPr>
  </w:style>
  <w:style w:type="character" w:styleId="Odkazintenzivn">
    <w:name w:val="Intense Reference"/>
    <w:basedOn w:val="Standardnpsmoodstavce"/>
    <w:uiPriority w:val="32"/>
    <w:qFormat/>
    <w:rsid w:val="00D35E59"/>
    <w:rPr>
      <w:b/>
      <w:bCs/>
      <w:smallCaps/>
      <w:color w:val="0F4761" w:themeColor="accent1" w:themeShade="BF"/>
      <w:spacing w:val="5"/>
    </w:rPr>
  </w:style>
  <w:style w:type="character" w:styleId="Hypertextovodkaz">
    <w:name w:val="Hyperlink"/>
    <w:basedOn w:val="Standardnpsmoodstavce"/>
    <w:uiPriority w:val="99"/>
    <w:unhideWhenUsed/>
    <w:rsid w:val="00D35E59"/>
    <w:rPr>
      <w:color w:val="467886" w:themeColor="hyperlink"/>
      <w:u w:val="single"/>
    </w:rPr>
  </w:style>
  <w:style w:type="paragraph" w:customStyle="1" w:styleId="menuitem">
    <w:name w:val="menuitem"/>
    <w:basedOn w:val="Normln"/>
    <w:rsid w:val="00D35E59"/>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paragraph" w:styleId="Textpoznpodarou">
    <w:name w:val="footnote text"/>
    <w:basedOn w:val="Normln"/>
    <w:link w:val="TextpoznpodarouChar"/>
    <w:uiPriority w:val="99"/>
    <w:semiHidden/>
    <w:unhideWhenUsed/>
    <w:rsid w:val="00D35E59"/>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35E59"/>
    <w:rPr>
      <w:sz w:val="20"/>
      <w:szCs w:val="20"/>
    </w:rPr>
  </w:style>
  <w:style w:type="character" w:styleId="Znakapoznpodarou">
    <w:name w:val="footnote reference"/>
    <w:basedOn w:val="Standardnpsmoodstavce"/>
    <w:uiPriority w:val="99"/>
    <w:semiHidden/>
    <w:unhideWhenUsed/>
    <w:rsid w:val="00D35E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mbasadorinvestoru.cz" TargetMode="External"/><Relationship Id="rId3" Type="http://schemas.openxmlformats.org/officeDocument/2006/relationships/webSettings" Target="webSettings.xml"/><Relationship Id="rId7" Type="http://schemas.openxmlformats.org/officeDocument/2006/relationships/hyperlink" Target="https://ambasadorinvestoru.c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debevoise.com/insights/publications/2026/04/polymarket-insider-trading-charges-illustrate-doj" TargetMode="External"/><Relationship Id="rId1" Type="http://schemas.openxmlformats.org/officeDocument/2006/relationships/hyperlink" Target="https://dostupnyadvokat.cz/blog/polymarke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878</Words>
  <Characters>5184</Characters>
  <Application>Microsoft Office Word</Application>
  <DocSecurity>0</DocSecurity>
  <Lines>43</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Pechalová</dc:creator>
  <cp:keywords/>
  <dc:description/>
  <cp:lastModifiedBy>Edita Pechalová</cp:lastModifiedBy>
  <cp:revision>2</cp:revision>
  <dcterms:created xsi:type="dcterms:W3CDTF">2026-10-27T10:24:00Z</dcterms:created>
  <dcterms:modified xsi:type="dcterms:W3CDTF">2026-10-27T10:25:00Z</dcterms:modified>
</cp:coreProperties>
</file>